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DA0" w:rsidRDefault="004E4445">
      <w:pPr>
        <w:pStyle w:val="Default"/>
        <w:ind w:left="284"/>
        <w:contextualSpacing/>
        <w:jc w:val="right"/>
        <w:rPr>
          <w:color w:val="FFFFFF"/>
          <w:sz w:val="25"/>
          <w:szCs w:val="25"/>
        </w:rPr>
      </w:pPr>
      <w:r>
        <w:rPr>
          <w:noProof/>
          <w:sz w:val="25"/>
          <w:szCs w:val="25"/>
          <w:lang w:eastAsia="ru-RU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-208915</wp:posOffset>
                </wp:positionH>
                <wp:positionV relativeFrom="paragraph">
                  <wp:posOffset>226695</wp:posOffset>
                </wp:positionV>
                <wp:extent cx="3434715" cy="840105"/>
                <wp:effectExtent l="0" t="0" r="0" b="0"/>
                <wp:wrapThrough wrapText="bothSides">
                  <wp:wrapPolygon edited="1">
                    <wp:start x="0" y="0"/>
                    <wp:lineTo x="0" y="21061"/>
                    <wp:lineTo x="21444" y="21061"/>
                    <wp:lineTo x="21444" y="0"/>
                    <wp:lineTo x="0" y="0"/>
                  </wp:wrapPolygon>
                </wp:wrapThrough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rcRect l="257" t="3963" r="683" b="2938"/>
                        <a:stretch/>
                      </pic:blipFill>
                      <pic:spPr bwMode="auto">
                        <a:xfrm>
                          <a:off x="0" y="0"/>
                          <a:ext cx="3434715" cy="8401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0800;o:allowoverlap:true;o:allowincell:true;mso-position-horizontal-relative:text;margin-left:-16.45pt;mso-position-horizontal:absolute;mso-position-vertical-relative:text;margin-top:17.85pt;mso-position-vertical:absolute;width:270.45pt;height:66.15pt;mso-wrap-distance-left:9.00pt;mso-wrap-distance-top:0.00pt;mso-wrap-distance-right:9.00pt;mso-wrap-distance-bottom:0.00pt;" wrapcoords="0 0 0 97505 99278 97505 99278 0 0 0" stroked="f">
                <v:path textboxrect="0,0,0,0"/>
                <w10:wrap type="through"/>
                <v:imagedata r:id="rId12" o:title=""/>
              </v:shape>
            </w:pict>
          </mc:Fallback>
        </mc:AlternateContent>
      </w:r>
      <w:r>
        <w:rPr>
          <w:noProof/>
          <w:sz w:val="25"/>
          <w:szCs w:val="25"/>
          <w:lang w:eastAsia="ru-RU"/>
        </w:rPr>
        <mc:AlternateContent>
          <mc:Choice Requires="wpg">
            <w:drawing>
              <wp:anchor distT="0" distB="0" distL="114935" distR="114935" simplePos="0" relativeHeight="251659776" behindDoc="0" locked="0" layoutInCell="1" allowOverlap="1">
                <wp:simplePos x="0" y="0"/>
                <wp:positionH relativeFrom="column">
                  <wp:posOffset>3115497</wp:posOffset>
                </wp:positionH>
                <wp:positionV relativeFrom="paragraph">
                  <wp:posOffset>-111050</wp:posOffset>
                </wp:positionV>
                <wp:extent cx="3185795" cy="251012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795" cy="2510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55DA0" w:rsidRDefault="00655DA0">
                            <w:pPr>
                              <w:pStyle w:val="5"/>
                              <w:numPr>
                                <w:ilvl w:val="0"/>
                                <w:numId w:val="0"/>
                              </w:numPr>
                              <w:jc w:val="right"/>
                              <w:rPr>
                                <w:rFonts w:ascii="Times New Roman" w:hAnsi="Times New Roman" w:cs="Times New Roman"/>
                                <w:color w:val="auto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" o:spid="_x0000_s1" o:spt="202" type="#_x0000_t202" style="position:absolute;z-index:251659776;o:allowoverlap:true;o:allowincell:true;mso-position-horizontal-relative:text;margin-left:245.31pt;mso-position-horizontal:absolute;mso-position-vertical-relative:text;margin-top:-8.74pt;mso-position-vertical:absolute;width:250.85pt;height:19.76pt;mso-wrap-distance-left:9.05pt;mso-wrap-distance-top:0.00pt;mso-wrap-distance-right:9.05pt;mso-wrap-distance-bottom:0.00pt;v-text-anchor:top;visibility:visible;" fillcolor="#FFFFFF" stroked="f">
                <v:textbox inset="0,0,0,0">
                  <w:txbxContent>
                    <w:p>
                      <w:pPr>
                        <w:pStyle w:val="713"/>
                        <w:numPr>
                          <w:ilvl w:val="0"/>
                          <w:numId w:val="0"/>
                        </w:numPr>
                        <w:jc w:val="right"/>
                        <w:rPr>
                          <w:rFonts w:ascii="Times New Roman" w:hAnsi="Times New Roman" w:cs="Times New Roman"/>
                          <w:color w:val="auto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lang w:val="ru-RU"/>
                        </w:rPr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lang w:val="ru-RU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5"/>
          <w:szCs w:val="25"/>
          <w:lang w:eastAsia="ru-RU"/>
        </w:rPr>
        <mc:AlternateContent>
          <mc:Choice Requires="wpg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3168650</wp:posOffset>
                </wp:positionH>
                <wp:positionV relativeFrom="paragraph">
                  <wp:posOffset>181648</wp:posOffset>
                </wp:positionV>
                <wp:extent cx="3185795" cy="13144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79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55DA0" w:rsidRDefault="004E4445">
                            <w:pPr>
                              <w:pStyle w:val="5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auto"/>
                                <w:sz w:val="24"/>
                                <w:szCs w:val="24"/>
                              </w:rPr>
                              <w:t>IX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  <w:t xml:space="preserve"> Международная конференция</w:t>
                            </w:r>
                          </w:p>
                          <w:p w:rsidR="00655DA0" w:rsidRDefault="00655DA0">
                            <w:pPr>
                              <w:jc w:val="center"/>
                            </w:pPr>
                          </w:p>
                          <w:p w:rsidR="00655DA0" w:rsidRDefault="004E4445">
                            <w:pPr>
                              <w:pStyle w:val="5"/>
                              <w:numPr>
                                <w:ilvl w:val="0"/>
                                <w:numId w:val="0"/>
                              </w:numPr>
                              <w:ind w:left="1008" w:hanging="10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  <w:t>ЭКОЛОГИЧЕСКАЯ БЕЗОПАСНОСТЬ</w:t>
                            </w:r>
                          </w:p>
                          <w:p w:rsidR="00655DA0" w:rsidRDefault="004E4445">
                            <w:pPr>
                              <w:jc w:val="center"/>
                              <w:rPr>
                                <w:b/>
                                <w:caps/>
                              </w:rPr>
                            </w:pPr>
                            <w:r>
                              <w:rPr>
                                <w:b/>
                                <w:caps/>
                              </w:rPr>
                              <w:t>в газовой промышленности</w:t>
                            </w:r>
                          </w:p>
                          <w:p w:rsidR="00655DA0" w:rsidRDefault="00655DA0">
                            <w:pPr>
                              <w:pStyle w:val="5"/>
                              <w:ind w:left="-57"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655DA0" w:rsidRDefault="004E4445">
                            <w:pPr>
                              <w:pStyle w:val="5"/>
                              <w:numPr>
                                <w:ilvl w:val="0"/>
                                <w:numId w:val="0"/>
                              </w:numPr>
                              <w:ind w:left="1008" w:hanging="10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  <w:t>11–12 декабря 2025 г.</w:t>
                            </w:r>
                          </w:p>
                          <w:p w:rsidR="00655DA0" w:rsidRDefault="004E4445">
                            <w:pPr>
                              <w:pStyle w:val="5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  <w:t>Москва, ООО «Газпром ВНИИГАЗ»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2" o:spid="_x0000_s2" o:spt="202" type="#_x0000_t202" style="position:absolute;z-index:251657728;o:allowoverlap:true;o:allowincell:true;mso-position-horizontal-relative:text;margin-left:249.50pt;mso-position-horizontal:absolute;mso-position-vertical-relative:text;margin-top:14.30pt;mso-position-vertical:absolute;width:250.85pt;height:103.50pt;mso-wrap-distance-left:9.05pt;mso-wrap-distance-top:0.00pt;mso-wrap-distance-right:9.05pt;mso-wrap-distance-bottom:0.00pt;v-text-anchor:top;visibility:visible;" fillcolor="#FFFFFF" stroked="f">
                <v:textbox inset="0,0,0,0">
                  <w:txbxContent>
                    <w:p>
                      <w:pPr>
                        <w:pStyle w:val="713"/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auto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auto"/>
                          <w:sz w:val="24"/>
                          <w:szCs w:val="24"/>
                        </w:rPr>
                        <w:t xml:space="preserve">I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auto"/>
                          <w:sz w:val="24"/>
                          <w:szCs w:val="24"/>
                        </w:rPr>
                        <w:t xml:space="preserve">X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auto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auto"/>
                          <w:sz w:val="24"/>
                          <w:szCs w:val="24"/>
                          <w:lang w:val="ru-RU"/>
                        </w:rPr>
                        <w:t xml:space="preserve">Международная конференция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auto"/>
                          <w:sz w:val="24"/>
                          <w:szCs w:val="24"/>
                          <w:lang w:val="ru-RU"/>
                        </w:rPr>
                      </w:r>
                    </w:p>
                    <w:p>
                      <w:pPr>
                        <w:jc w:val="center"/>
                      </w:pPr>
                      <w:r/>
                      <w:r/>
                    </w:p>
                    <w:p>
                      <w:pPr>
                        <w:pStyle w:val="713"/>
                        <w:numPr>
                          <w:ilvl w:val="0"/>
                          <w:numId w:val="0"/>
                        </w:numPr>
                        <w:ind w:left="1008" w:hanging="1008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val="ru-RU"/>
                        </w:rPr>
                        <w:t xml:space="preserve">ЭКОЛОГИЧЕСКАЯ БЕЗОПАСНОСТЬ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val="ru-RU"/>
                        </w:rPr>
                      </w:r>
                    </w:p>
                    <w:p>
                      <w:pPr>
                        <w:jc w:val="center"/>
                        <w:rPr>
                          <w:b/>
                          <w:caps/>
                        </w:rPr>
                      </w:pPr>
                      <w:r>
                        <w:rPr>
                          <w:b/>
                          <w:caps/>
                        </w:rPr>
                        <w:t xml:space="preserve">в газовой промышленности</w:t>
                      </w:r>
                      <w:r>
                        <w:rPr>
                          <w:b/>
                          <w:caps/>
                        </w:rPr>
                      </w:r>
                    </w:p>
                    <w:p>
                      <w:pPr>
                        <w:pStyle w:val="713"/>
                        <w:ind w:left="-57" w:firstLine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val="ru-RU"/>
                        </w:rPr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val="ru-RU"/>
                        </w:rPr>
                      </w:r>
                    </w:p>
                    <w:p>
                      <w:pPr>
                        <w:pStyle w:val="713"/>
                        <w:numPr>
                          <w:ilvl w:val="0"/>
                          <w:numId w:val="0"/>
                        </w:numPr>
                        <w:ind w:left="1008" w:hanging="1008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val="ru-RU"/>
                        </w:rPr>
                        <w:t xml:space="preserve">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val="ru-RU"/>
                        </w:rPr>
                        <w:t xml:space="preserve">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val="ru-RU"/>
                        </w:rPr>
                        <w:t xml:space="preserve">–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val="ru-RU"/>
                        </w:rPr>
                        <w:t xml:space="preserve">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val="ru-RU"/>
                        </w:rPr>
                        <w:t xml:space="preserve">2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val="ru-RU"/>
                        </w:rPr>
                        <w:t xml:space="preserve">декабря 202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val="ru-RU"/>
                        </w:rPr>
                        <w:t xml:space="preserve">5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val="ru-RU"/>
                        </w:rPr>
                        <w:t xml:space="preserve"> г.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4"/>
                          <w:szCs w:val="24"/>
                          <w:lang w:val="ru-RU"/>
                        </w:rPr>
                      </w:r>
                    </w:p>
                    <w:p>
                      <w:pPr>
                        <w:pStyle w:val="713"/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lang w:val="ru-RU"/>
                        </w:rPr>
                        <w:t xml:space="preserve">Москва, ООО «Газпром ВНИИГАЗ»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/>
          <w:sz w:val="25"/>
          <w:szCs w:val="25"/>
          <w:lang w:val="en-US"/>
        </w:rPr>
        <w:t>GAZPROM</w:t>
      </w:r>
    </w:p>
    <w:p w:rsidR="00655DA0" w:rsidRDefault="004E4445">
      <w:pPr>
        <w:pStyle w:val="Default"/>
        <w:contextualSpacing/>
        <w:rPr>
          <w:i/>
          <w:color w:val="FFFFFF"/>
          <w:sz w:val="25"/>
          <w:szCs w:val="25"/>
        </w:rPr>
      </w:pPr>
      <w:r>
        <w:rPr>
          <w:i/>
          <w:color w:val="FFFFFF"/>
          <w:sz w:val="25"/>
          <w:szCs w:val="25"/>
          <w:lang w:val="en-US"/>
        </w:rPr>
        <w:t>I</w:t>
      </w:r>
      <w:r>
        <w:rPr>
          <w:i/>
          <w:color w:val="FFFFFF"/>
          <w:sz w:val="25"/>
          <w:szCs w:val="25"/>
        </w:rPr>
        <w:t>-200</w:t>
      </w:r>
    </w:p>
    <w:p w:rsidR="00655DA0" w:rsidRDefault="00655DA0">
      <w:pPr>
        <w:pStyle w:val="25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655DA0" w:rsidRDefault="00655DA0">
      <w:pPr>
        <w:pStyle w:val="Default"/>
        <w:contextualSpacing/>
        <w:rPr>
          <w:rFonts w:ascii="Times New Roman" w:hAnsi="Times New Roman" w:cs="Times New Roman"/>
          <w:sz w:val="25"/>
          <w:szCs w:val="25"/>
        </w:rPr>
      </w:pPr>
    </w:p>
    <w:p w:rsidR="00655DA0" w:rsidRDefault="00655DA0">
      <w:pPr>
        <w:pStyle w:val="Default"/>
        <w:contextualSpacing/>
        <w:rPr>
          <w:rFonts w:ascii="Times New Roman" w:hAnsi="Times New Roman" w:cs="Times New Roman"/>
          <w:sz w:val="25"/>
          <w:szCs w:val="25"/>
        </w:rPr>
      </w:pPr>
    </w:p>
    <w:p w:rsidR="00655DA0" w:rsidRDefault="00655DA0">
      <w:pPr>
        <w:pStyle w:val="Default"/>
        <w:contextualSpacing/>
        <w:rPr>
          <w:rFonts w:ascii="Times New Roman" w:hAnsi="Times New Roman" w:cs="Times New Roman"/>
          <w:sz w:val="25"/>
          <w:szCs w:val="25"/>
        </w:rPr>
      </w:pPr>
    </w:p>
    <w:p w:rsidR="00655DA0" w:rsidRDefault="00655DA0">
      <w:pPr>
        <w:pStyle w:val="Default"/>
        <w:contextualSpacing/>
        <w:rPr>
          <w:rFonts w:ascii="Times New Roman" w:hAnsi="Times New Roman" w:cs="Times New Roman"/>
          <w:sz w:val="25"/>
          <w:szCs w:val="25"/>
        </w:rPr>
      </w:pPr>
    </w:p>
    <w:p w:rsidR="00655DA0" w:rsidRDefault="00655DA0">
      <w:pPr>
        <w:pStyle w:val="25"/>
        <w:ind w:firstLine="720"/>
        <w:contextualSpacing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655DA0" w:rsidRDefault="00655DA0">
      <w:pPr>
        <w:pStyle w:val="25"/>
        <w:ind w:firstLine="720"/>
        <w:contextualSpacing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655DA0" w:rsidRDefault="004E4445">
      <w:pPr>
        <w:pStyle w:val="25"/>
        <w:ind w:firstLine="720"/>
        <w:contextualSpacing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ООО «Газпром ВНИИГАЗ» при поддержке ПАО «Газпром» в период</w:t>
      </w:r>
      <w:r>
        <w:rPr>
          <w:rFonts w:ascii="Times New Roman" w:hAnsi="Times New Roman" w:cs="Times New Roman"/>
          <w:bCs/>
          <w:sz w:val="25"/>
          <w:szCs w:val="25"/>
        </w:rPr>
        <w:br/>
        <w:t>с 11 по 12 декабря 2025 года планирует проведение IX Международной конференции «Экологическая безопасность в газовой промышленности» (ESGI-2025).</w:t>
      </w:r>
    </w:p>
    <w:p w:rsidR="00655DA0" w:rsidRDefault="004E4445">
      <w:pPr>
        <w:ind w:firstLine="720"/>
        <w:contextualSpacing/>
        <w:jc w:val="both"/>
        <w:rPr>
          <w:sz w:val="25"/>
          <w:szCs w:val="25"/>
        </w:rPr>
      </w:pPr>
      <w:r>
        <w:rPr>
          <w:bCs/>
          <w:sz w:val="25"/>
          <w:szCs w:val="25"/>
        </w:rPr>
        <w:t xml:space="preserve">Представители государственных органов, руководители, специалисты и деловые партнеры нефтегазовых и сервисных компаний, представители российской науки обсудят актуальные вопросы обеспечения экологической безопасности, </w:t>
      </w:r>
      <w:proofErr w:type="spellStart"/>
      <w:r>
        <w:rPr>
          <w:bCs/>
          <w:sz w:val="25"/>
          <w:szCs w:val="25"/>
        </w:rPr>
        <w:t>энергоэффективности</w:t>
      </w:r>
      <w:proofErr w:type="spellEnd"/>
      <w:r>
        <w:rPr>
          <w:bCs/>
          <w:sz w:val="25"/>
          <w:szCs w:val="25"/>
        </w:rPr>
        <w:t>.</w:t>
      </w:r>
      <w:r>
        <w:rPr>
          <w:sz w:val="25"/>
          <w:szCs w:val="25"/>
        </w:rPr>
        <w:t xml:space="preserve"> </w:t>
      </w:r>
    </w:p>
    <w:p w:rsidR="00655DA0" w:rsidRDefault="00F80E0E">
      <w:pPr>
        <w:ind w:firstLine="720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К участию в </w:t>
      </w:r>
      <w:r w:rsidR="004E4445">
        <w:rPr>
          <w:sz w:val="25"/>
          <w:szCs w:val="25"/>
        </w:rPr>
        <w:t>конференции</w:t>
      </w:r>
      <w:r>
        <w:rPr>
          <w:sz w:val="25"/>
          <w:szCs w:val="25"/>
        </w:rPr>
        <w:t xml:space="preserve"> приглашены</w:t>
      </w:r>
      <w:r w:rsidR="004E4445">
        <w:rPr>
          <w:sz w:val="25"/>
          <w:szCs w:val="25"/>
        </w:rPr>
        <w:t xml:space="preserve">: ПАО «Газпром», дочерние общества и организации ПАО «Газпром», Минприроды России, Минэнерго России, </w:t>
      </w:r>
      <w:proofErr w:type="spellStart"/>
      <w:r w:rsidR="004E4445">
        <w:rPr>
          <w:sz w:val="25"/>
          <w:szCs w:val="25"/>
        </w:rPr>
        <w:t>Минпромторг</w:t>
      </w:r>
      <w:proofErr w:type="spellEnd"/>
      <w:r w:rsidR="004E4445">
        <w:rPr>
          <w:sz w:val="25"/>
          <w:szCs w:val="25"/>
        </w:rPr>
        <w:t xml:space="preserve"> России, Минэкономразвития России, Неправительственный экологический фонд имени В.И. Вернадского, ФИЦ «Биотехнологии» РАН, Институт народнохозяйственного прогнозирования РАН, Финансовый университет при Правительстве России, Институт Европы РАН; НИИ проблем экологии, Институт катализа имени Г.К. Борескова СО РАН, Институт нефтехимического синтеза имени А.В. Топчиева, Институт глобального климата</w:t>
      </w:r>
      <w:r w:rsidR="004E4445">
        <w:rPr>
          <w:sz w:val="25"/>
          <w:szCs w:val="25"/>
        </w:rPr>
        <w:br/>
        <w:t>и экологии имени академика Ю.А. </w:t>
      </w:r>
      <w:proofErr w:type="spellStart"/>
      <w:r w:rsidR="004E4445">
        <w:rPr>
          <w:sz w:val="25"/>
          <w:szCs w:val="25"/>
        </w:rPr>
        <w:t>Израэля</w:t>
      </w:r>
      <w:proofErr w:type="spellEnd"/>
      <w:r w:rsidR="004E4445">
        <w:rPr>
          <w:sz w:val="25"/>
          <w:szCs w:val="25"/>
        </w:rPr>
        <w:t xml:space="preserve">, Московский государственный университет имени М.В. Ломоносова, Институт высокотемпературной электрохимии </w:t>
      </w:r>
      <w:proofErr w:type="spellStart"/>
      <w:r w:rsidR="004E4445">
        <w:rPr>
          <w:sz w:val="25"/>
          <w:szCs w:val="25"/>
        </w:rPr>
        <w:t>УрО</w:t>
      </w:r>
      <w:proofErr w:type="spellEnd"/>
      <w:r w:rsidR="004E4445">
        <w:rPr>
          <w:sz w:val="25"/>
          <w:szCs w:val="25"/>
        </w:rPr>
        <w:t> РАН, Санкт-Петербургский политехнический университет Петра Великого, Институт проблем нефти</w:t>
      </w:r>
      <w:r w:rsidR="004E4445">
        <w:rPr>
          <w:sz w:val="25"/>
          <w:szCs w:val="25"/>
        </w:rPr>
        <w:br/>
        <w:t>и газа РАН, Санкт-Петербургский государственный экономический университет и пр.</w:t>
      </w:r>
    </w:p>
    <w:p w:rsidR="00655DA0" w:rsidRDefault="004E4445">
      <w:pPr>
        <w:pStyle w:val="25"/>
        <w:ind w:right="51" w:firstLine="72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Программа конференции включает Пленарное заседание и Технические секции.</w:t>
      </w:r>
      <w:r>
        <w:rPr>
          <w:rFonts w:ascii="Times New Roman" w:hAnsi="Times New Roman" w:cs="Times New Roman"/>
          <w:sz w:val="25"/>
          <w:szCs w:val="25"/>
        </w:rPr>
        <w:br/>
        <w:t>В рамках конференции планируется работа выставки передовых технологий и оборудования для учета расхода энергоресурсов и автоматизированных систем контроля за воздействием на компоненты окружающей среды.</w:t>
      </w:r>
    </w:p>
    <w:p w:rsidR="00655DA0" w:rsidRDefault="004E4445">
      <w:pPr>
        <w:pStyle w:val="afc"/>
        <w:contextualSpacing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655DA0" w:rsidRDefault="004E4445">
      <w:pPr>
        <w:pStyle w:val="afc"/>
        <w:ind w:firstLine="720"/>
        <w:contextualSpacing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Пленарное заседание: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655DA0" w:rsidRDefault="004E4445">
      <w:pPr>
        <w:ind w:firstLine="720"/>
        <w:contextualSpacing/>
        <w:rPr>
          <w:b/>
          <w:bCs/>
          <w:i/>
          <w:iCs/>
          <w:sz w:val="25"/>
          <w:szCs w:val="25"/>
        </w:rPr>
      </w:pPr>
      <w:r>
        <w:rPr>
          <w:b/>
          <w:bCs/>
          <w:i/>
          <w:iCs/>
          <w:sz w:val="25"/>
          <w:szCs w:val="25"/>
        </w:rPr>
        <w:t>10:00 – 18:00 11 декабря 2025 г.</w:t>
      </w:r>
    </w:p>
    <w:p w:rsidR="00655DA0" w:rsidRDefault="004E4445">
      <w:pPr>
        <w:pStyle w:val="25"/>
        <w:ind w:right="51" w:firstLine="72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Приветствие Руководства ПАО «Газпром».</w:t>
      </w:r>
    </w:p>
    <w:p w:rsidR="00655DA0" w:rsidRDefault="004E4445">
      <w:pPr>
        <w:pStyle w:val="25"/>
        <w:ind w:right="51" w:firstLine="72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Доклады по актуальным вопросам мировой экологической повестки.</w:t>
      </w:r>
    </w:p>
    <w:p w:rsidR="00655DA0" w:rsidRDefault="004E4445">
      <w:pPr>
        <w:pStyle w:val="25"/>
        <w:ind w:right="51" w:firstLine="72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Доклады, выражающие позиции государственных контрольных и надзорных органов. </w:t>
      </w:r>
    </w:p>
    <w:p w:rsidR="00655DA0" w:rsidRDefault="00655DA0">
      <w:pPr>
        <w:ind w:firstLine="720"/>
        <w:contextualSpacing/>
        <w:jc w:val="both"/>
        <w:rPr>
          <w:b/>
          <w:bCs/>
          <w:sz w:val="25"/>
          <w:szCs w:val="25"/>
        </w:rPr>
      </w:pPr>
    </w:p>
    <w:p w:rsidR="00655DA0" w:rsidRDefault="004E4445">
      <w:pPr>
        <w:ind w:firstLine="720"/>
        <w:contextualSpacing/>
        <w:jc w:val="both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Технические секции:</w:t>
      </w:r>
    </w:p>
    <w:p w:rsidR="00655DA0" w:rsidRDefault="004E4445">
      <w:pPr>
        <w:ind w:firstLine="709"/>
        <w:contextualSpacing/>
        <w:rPr>
          <w:b/>
          <w:bCs/>
          <w:sz w:val="25"/>
          <w:szCs w:val="25"/>
        </w:rPr>
      </w:pPr>
      <w:r>
        <w:rPr>
          <w:b/>
          <w:bCs/>
          <w:i/>
          <w:iCs/>
          <w:sz w:val="25"/>
          <w:szCs w:val="25"/>
        </w:rPr>
        <w:t>9:00 – 17:00 12 декабря 2025 г.</w:t>
      </w:r>
    </w:p>
    <w:p w:rsidR="00655DA0" w:rsidRDefault="00655DA0">
      <w:pPr>
        <w:pStyle w:val="afc"/>
        <w:ind w:firstLine="709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655DA0" w:rsidRDefault="004E4445">
      <w:pPr>
        <w:pStyle w:val="afc"/>
        <w:ind w:firstLine="709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1.</w:t>
      </w:r>
      <w:r>
        <w:rPr>
          <w:rFonts w:ascii="Times New Roman" w:hAnsi="Times New Roman" w:cs="Times New Roman"/>
          <w:sz w:val="25"/>
          <w:szCs w:val="25"/>
        </w:rPr>
        <w:t> </w:t>
      </w:r>
      <w:r>
        <w:rPr>
          <w:rFonts w:ascii="Times New Roman" w:hAnsi="Times New Roman" w:cs="Times New Roman"/>
          <w:b/>
          <w:sz w:val="25"/>
          <w:szCs w:val="25"/>
        </w:rPr>
        <w:t>Охрана окружающей среды и обеспечение экологической безопасности в современных условиях: состояние, проблемы, пути и способы решения.</w:t>
      </w:r>
    </w:p>
    <w:p w:rsidR="00655DA0" w:rsidRDefault="004E4445">
      <w:pPr>
        <w:pStyle w:val="afc"/>
        <w:ind w:firstLine="709"/>
        <w:contextualSpacing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Основные темы для обсуждения:</w:t>
      </w:r>
    </w:p>
    <w:p w:rsidR="00655DA0" w:rsidRDefault="004E4445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– мероприятия по снижению негативного воздействия на окружающую среду с учетом ужесточения механизмов экономического стимулирования </w:t>
      </w:r>
      <w:proofErr w:type="spellStart"/>
      <w:r>
        <w:rPr>
          <w:rFonts w:ascii="Times New Roman" w:hAnsi="Times New Roman" w:cs="Times New Roman"/>
          <w:sz w:val="25"/>
          <w:szCs w:val="25"/>
        </w:rPr>
        <w:t>природопользователей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(выбросы и сбросы загрязняющих веществ, обращение с отходами, сохранение земельных ресурсов, наилучшие доступные технологии и др.);</w:t>
      </w:r>
    </w:p>
    <w:p w:rsidR="00655DA0" w:rsidRDefault="004E4445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>– новые экологические требования и стандартизация;</w:t>
      </w:r>
    </w:p>
    <w:p w:rsidR="00655DA0" w:rsidRDefault="004E4445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 развитие экологического нормирования (разработка новых методик расчета выбросов загрязняющих веществ, определение перечня видов (показателей) физического воздействия на окружающую среду);</w:t>
      </w:r>
    </w:p>
    <w:p w:rsidR="00655DA0" w:rsidRDefault="004E4445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 совершенствование системы экологического менеджмента и управление экологическими рисками (разработка (усовершенствование) методики идентификации экологических аспектов, повышение экологической культуры на производстве);</w:t>
      </w:r>
    </w:p>
    <w:p w:rsidR="00655DA0" w:rsidRDefault="004E4445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 контроль и мониторинг состояния и загрязнения окружающей среды (методы, способы, решения);</w:t>
      </w:r>
    </w:p>
    <w:p w:rsidR="00655DA0" w:rsidRDefault="004E4445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 цифровые решения в природоохранной деятельности и применение искусственного интеллекта.</w:t>
      </w:r>
    </w:p>
    <w:p w:rsidR="00655DA0" w:rsidRDefault="00655DA0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655DA0" w:rsidRDefault="004E4445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2.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</w:rPr>
        <w:t xml:space="preserve">Энергосбережение и повышение энергетической эффективности – </w:t>
      </w:r>
      <w:proofErr w:type="spellStart"/>
      <w:r>
        <w:rPr>
          <w:rFonts w:ascii="Times New Roman" w:hAnsi="Times New Roman" w:cs="Times New Roman"/>
          <w:b/>
          <w:sz w:val="25"/>
          <w:szCs w:val="25"/>
        </w:rPr>
        <w:t>низкоуглеродное</w:t>
      </w:r>
      <w:proofErr w:type="spellEnd"/>
      <w:r>
        <w:rPr>
          <w:rFonts w:ascii="Times New Roman" w:hAnsi="Times New Roman" w:cs="Times New Roman"/>
          <w:b/>
          <w:sz w:val="25"/>
          <w:szCs w:val="25"/>
        </w:rPr>
        <w:t xml:space="preserve"> развитие нефтегазовых компаний.</w:t>
      </w:r>
    </w:p>
    <w:p w:rsidR="00655DA0" w:rsidRDefault="004E4445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Основные темы для обсуждения:</w:t>
      </w:r>
    </w:p>
    <w:p w:rsidR="00655DA0" w:rsidRDefault="004E4445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 инновационные технологии энергосбережения в добыче, транспортировке, хранении и использовании природного газа;</w:t>
      </w:r>
    </w:p>
    <w:p w:rsidR="00655DA0" w:rsidRDefault="004E4445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 совершенствование системы энергетического менеджмента;</w:t>
      </w:r>
    </w:p>
    <w:p w:rsidR="00655DA0" w:rsidRDefault="004E4445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 энергетический анализ;</w:t>
      </w:r>
    </w:p>
    <w:p w:rsidR="00655DA0" w:rsidRDefault="004E4445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 практический опыт реализации энергосберегающих мероприятий;</w:t>
      </w:r>
    </w:p>
    <w:p w:rsidR="00655DA0" w:rsidRDefault="004E4445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– оценка результативности и эффективности использования 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топливно-энергетических ресурсов</w:t>
      </w:r>
      <w:r>
        <w:rPr>
          <w:rFonts w:ascii="Times New Roman" w:hAnsi="Times New Roman" w:cs="Times New Roman"/>
          <w:sz w:val="25"/>
          <w:szCs w:val="25"/>
        </w:rPr>
        <w:t>;</w:t>
      </w:r>
    </w:p>
    <w:p w:rsidR="00655DA0" w:rsidRDefault="004E4445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– мониторинг расхода 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топливно-энергетических ресурсов</w:t>
      </w:r>
      <w:r>
        <w:rPr>
          <w:rFonts w:ascii="Times New Roman" w:hAnsi="Times New Roman" w:cs="Times New Roman"/>
          <w:sz w:val="25"/>
          <w:szCs w:val="25"/>
        </w:rPr>
        <w:t xml:space="preserve"> и формирование прогнозов их потребления;</w:t>
      </w:r>
    </w:p>
    <w:p w:rsidR="00655DA0" w:rsidRDefault="004E4445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– реализация проектов с привлечением механизма </w:t>
      </w:r>
      <w:proofErr w:type="spellStart"/>
      <w:r>
        <w:rPr>
          <w:rFonts w:ascii="Times New Roman" w:hAnsi="Times New Roman" w:cs="Times New Roman"/>
          <w:sz w:val="25"/>
          <w:szCs w:val="25"/>
        </w:rPr>
        <w:t>энергосервисного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контракта;</w:t>
      </w:r>
    </w:p>
    <w:p w:rsidR="00655DA0" w:rsidRDefault="004E4445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 водородная энергетика и технологии;</w:t>
      </w:r>
    </w:p>
    <w:p w:rsidR="00655DA0" w:rsidRDefault="004E4445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 возможности декарбонизации нефтегазового комплекса;</w:t>
      </w:r>
    </w:p>
    <w:p w:rsidR="00655DA0" w:rsidRDefault="004E4445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 оценка выбросов парниковых газов, углеродного и токсического следа;</w:t>
      </w:r>
    </w:p>
    <w:p w:rsidR="00655DA0" w:rsidRDefault="004E4445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 реализация климатических проектов;</w:t>
      </w:r>
    </w:p>
    <w:p w:rsidR="00655DA0" w:rsidRDefault="004E4445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 </w:t>
      </w:r>
      <w:proofErr w:type="spellStart"/>
      <w:r>
        <w:rPr>
          <w:rFonts w:ascii="Times New Roman" w:hAnsi="Times New Roman" w:cs="Times New Roman"/>
          <w:sz w:val="25"/>
          <w:szCs w:val="25"/>
        </w:rPr>
        <w:t>валидация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и верификация выбросов парниковых газов, квотирование;</w:t>
      </w:r>
    </w:p>
    <w:p w:rsidR="00655DA0" w:rsidRDefault="004E4445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 корпоративная углеродная отчетность.</w:t>
      </w:r>
    </w:p>
    <w:p w:rsidR="00655DA0" w:rsidRDefault="00655DA0">
      <w:pPr>
        <w:pStyle w:val="Default"/>
        <w:rPr>
          <w:sz w:val="25"/>
          <w:szCs w:val="25"/>
        </w:rPr>
      </w:pPr>
    </w:p>
    <w:p w:rsidR="00655DA0" w:rsidRDefault="004E4445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3.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</w:rPr>
        <w:t>Биотехнологии для решения практических задач нефтегазовой отрасли.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655DA0" w:rsidRDefault="004E4445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Основные темы для обсуждения:</w:t>
      </w:r>
    </w:p>
    <w:p w:rsidR="00655DA0" w:rsidRDefault="004E4445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 очистка и обезвреживание отходящих газов;</w:t>
      </w:r>
    </w:p>
    <w:p w:rsidR="00655DA0" w:rsidRDefault="004E4445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 очистка сточных вод и реализация систем замкнутого водопользования;</w:t>
      </w:r>
    </w:p>
    <w:p w:rsidR="00655DA0" w:rsidRDefault="00D935BC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 биотехнологии</w:t>
      </w:r>
      <w:r w:rsidR="004E4445">
        <w:rPr>
          <w:rFonts w:ascii="Times New Roman" w:hAnsi="Times New Roman" w:cs="Times New Roman"/>
          <w:sz w:val="25"/>
          <w:szCs w:val="25"/>
        </w:rPr>
        <w:t xml:space="preserve"> обезвреживания и утилизации отходов топливно-энергетического комплекса;</w:t>
      </w:r>
    </w:p>
    <w:p w:rsidR="00655DA0" w:rsidRDefault="004E4445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 восстановление загрязненных территорий и акваторий;</w:t>
      </w:r>
    </w:p>
    <w:p w:rsidR="00655DA0" w:rsidRDefault="004E4445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– биотехнологии получения </w:t>
      </w:r>
      <w:proofErr w:type="spellStart"/>
      <w:r>
        <w:rPr>
          <w:rFonts w:ascii="Times New Roman" w:hAnsi="Times New Roman" w:cs="Times New Roman"/>
          <w:sz w:val="25"/>
          <w:szCs w:val="25"/>
        </w:rPr>
        <w:t>высокомаржинальных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продуктов из углеводородного сырья;</w:t>
      </w:r>
    </w:p>
    <w:p w:rsidR="00655DA0" w:rsidRDefault="004E4445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 </w:t>
      </w:r>
      <w:proofErr w:type="spellStart"/>
      <w:r>
        <w:rPr>
          <w:rFonts w:ascii="Times New Roman" w:hAnsi="Times New Roman" w:cs="Times New Roman"/>
          <w:sz w:val="25"/>
          <w:szCs w:val="25"/>
        </w:rPr>
        <w:t>биокоррозия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пластиков и полимеров;</w:t>
      </w:r>
    </w:p>
    <w:p w:rsidR="00655DA0" w:rsidRDefault="004E4445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– зеленые технологии и материалы в нефтегазовой отрасли: ингибиторы </w:t>
      </w:r>
      <w:proofErr w:type="spellStart"/>
      <w:r>
        <w:rPr>
          <w:rFonts w:ascii="Times New Roman" w:hAnsi="Times New Roman" w:cs="Times New Roman"/>
          <w:sz w:val="25"/>
          <w:szCs w:val="25"/>
        </w:rPr>
        <w:t>биокоррозии</w:t>
      </w:r>
      <w:proofErr w:type="spellEnd"/>
      <w:r>
        <w:rPr>
          <w:rFonts w:ascii="Times New Roman" w:hAnsi="Times New Roman" w:cs="Times New Roman"/>
          <w:sz w:val="25"/>
          <w:szCs w:val="25"/>
        </w:rPr>
        <w:t>, буровые растворы, ПАВ, биопластики и пр.;</w:t>
      </w:r>
    </w:p>
    <w:p w:rsidR="00655DA0" w:rsidRDefault="004E4445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 актуальные разработки для топливно-энергетического комплекса;</w:t>
      </w:r>
    </w:p>
    <w:p w:rsidR="00655DA0" w:rsidRDefault="004E4445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 биомониторинг воздействия на окружающую среду.</w:t>
      </w:r>
    </w:p>
    <w:p w:rsidR="00655DA0" w:rsidRDefault="00655DA0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655DA0" w:rsidRDefault="004E4445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lastRenderedPageBreak/>
        <w:t>4.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</w:rPr>
        <w:t>Механизмы адаптации к климатическим изменениям и смягчения их последствий для нефтегазовой отрасли.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655DA0" w:rsidRDefault="004E4445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Основные темы для обсуждения:</w:t>
      </w:r>
    </w:p>
    <w:p w:rsidR="00655DA0" w:rsidRDefault="004E4445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 российские и международные практики адаптации к изменениям климата;</w:t>
      </w:r>
    </w:p>
    <w:p w:rsidR="00655DA0" w:rsidRDefault="004E4445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– оценка </w:t>
      </w:r>
      <w:proofErr w:type="spellStart"/>
      <w:r>
        <w:rPr>
          <w:rFonts w:ascii="Times New Roman" w:hAnsi="Times New Roman" w:cs="Times New Roman"/>
          <w:sz w:val="25"/>
          <w:szCs w:val="25"/>
        </w:rPr>
        <w:t>экосистемных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услуг в текущих климатических изменениях;</w:t>
      </w:r>
    </w:p>
    <w:p w:rsidR="00655DA0" w:rsidRDefault="004E4445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 дистанционный мониторинг для оценки и управления климатическими рисками;</w:t>
      </w:r>
    </w:p>
    <w:p w:rsidR="00655DA0" w:rsidRDefault="004E4445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 оценка возможного ущерба при реализации климатических рисков;</w:t>
      </w:r>
    </w:p>
    <w:p w:rsidR="00655DA0" w:rsidRDefault="004E4445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– мониторинг и оценка эффективности реализуемых адаптационных мероприятий; </w:t>
      </w:r>
    </w:p>
    <w:p w:rsidR="00655DA0" w:rsidRDefault="004E4445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 новые материалы и технические решения в управлении климатическими рисками;</w:t>
      </w:r>
    </w:p>
    <w:p w:rsidR="00655DA0" w:rsidRDefault="004E4445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 мониторинг устойчивости грунтов в условиях климатических изменений;</w:t>
      </w:r>
    </w:p>
    <w:p w:rsidR="00655DA0" w:rsidRDefault="004E4445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 биоразнообразие как показатель устойчивости экосистем.</w:t>
      </w:r>
    </w:p>
    <w:p w:rsidR="00655DA0" w:rsidRDefault="00655DA0">
      <w:pPr>
        <w:ind w:left="360"/>
        <w:contextualSpacing/>
        <w:jc w:val="both"/>
        <w:rPr>
          <w:sz w:val="25"/>
          <w:szCs w:val="25"/>
        </w:rPr>
      </w:pPr>
    </w:p>
    <w:p w:rsidR="00655DA0" w:rsidRDefault="004E4445">
      <w:pPr>
        <w:pStyle w:val="afc"/>
        <w:ind w:firstLine="709"/>
        <w:contextualSpacing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Заключительное заседание по подведению итогов работы конференции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655DA0" w:rsidRDefault="004E4445">
      <w:pPr>
        <w:ind w:firstLine="709"/>
        <w:contextualSpacing/>
        <w:rPr>
          <w:b/>
          <w:bCs/>
          <w:i/>
          <w:iCs/>
          <w:sz w:val="25"/>
          <w:szCs w:val="25"/>
        </w:rPr>
      </w:pPr>
      <w:r>
        <w:rPr>
          <w:b/>
          <w:bCs/>
          <w:i/>
          <w:iCs/>
          <w:sz w:val="25"/>
          <w:szCs w:val="25"/>
        </w:rPr>
        <w:t>17:00 – 18:00 12 декабря 2025 г.</w:t>
      </w:r>
    </w:p>
    <w:p w:rsidR="00655DA0" w:rsidRDefault="00655DA0">
      <w:pPr>
        <w:pStyle w:val="26"/>
        <w:ind w:firstLine="709"/>
        <w:contextualSpacing/>
        <w:rPr>
          <w:rFonts w:ascii="Times New Roman" w:hAnsi="Times New Roman" w:cs="Times New Roman"/>
          <w:b/>
          <w:bCs/>
          <w:sz w:val="25"/>
          <w:szCs w:val="25"/>
        </w:rPr>
      </w:pPr>
    </w:p>
    <w:p w:rsidR="00655DA0" w:rsidRDefault="004E4445">
      <w:pPr>
        <w:pStyle w:val="26"/>
        <w:ind w:firstLine="709"/>
        <w:contextualSpacing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Официальные языки конференции </w:t>
      </w:r>
    </w:p>
    <w:p w:rsidR="00655DA0" w:rsidRDefault="004E4445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Официальные языки конференции: русский и английский. Докладчики должны представить свои материалы на одном из этих языков или на обоих. </w:t>
      </w:r>
      <w:r>
        <w:rPr>
          <w:rFonts w:ascii="Times New Roman" w:hAnsi="Times New Roman" w:cs="Times New Roman"/>
          <w:bCs/>
          <w:sz w:val="25"/>
          <w:szCs w:val="25"/>
        </w:rPr>
        <w:t>Конференция пройдет</w:t>
      </w:r>
      <w:r>
        <w:rPr>
          <w:rFonts w:ascii="Times New Roman" w:hAnsi="Times New Roman" w:cs="Times New Roman"/>
          <w:sz w:val="25"/>
          <w:szCs w:val="25"/>
        </w:rPr>
        <w:t xml:space="preserve"> в очном формате. Будет обеспечен синхронный перевод.</w:t>
      </w:r>
    </w:p>
    <w:p w:rsidR="00655DA0" w:rsidRDefault="00655DA0">
      <w:pPr>
        <w:pStyle w:val="Default"/>
        <w:contextualSpacing/>
        <w:rPr>
          <w:rFonts w:ascii="Times New Roman" w:hAnsi="Times New Roman" w:cs="Times New Roman"/>
          <w:sz w:val="25"/>
          <w:szCs w:val="25"/>
        </w:rPr>
      </w:pPr>
    </w:p>
    <w:p w:rsidR="00655DA0" w:rsidRDefault="004E4445">
      <w:pPr>
        <w:pStyle w:val="26"/>
        <w:ind w:firstLine="709"/>
        <w:contextualSpacing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Место проведения конференции </w:t>
      </w:r>
    </w:p>
    <w:p w:rsidR="00655DA0" w:rsidRDefault="004E4445">
      <w:pPr>
        <w:widowControl w:val="0"/>
        <w:ind w:firstLine="709"/>
        <w:contextualSpacing/>
        <w:jc w:val="both"/>
        <w:rPr>
          <w:rFonts w:eastAsia="Arial"/>
          <w:color w:val="000000"/>
          <w:sz w:val="25"/>
          <w:szCs w:val="25"/>
        </w:rPr>
      </w:pPr>
      <w:r>
        <w:rPr>
          <w:rFonts w:eastAsia="Arial"/>
          <w:sz w:val="25"/>
          <w:szCs w:val="25"/>
        </w:rPr>
        <w:t xml:space="preserve">142717, Россия, Московская обл., </w:t>
      </w:r>
      <w:r>
        <w:rPr>
          <w:rFonts w:eastAsia="Arial"/>
          <w:color w:val="000000"/>
          <w:sz w:val="25"/>
          <w:szCs w:val="25"/>
        </w:rPr>
        <w:t xml:space="preserve">Ленинский </w:t>
      </w:r>
      <w:proofErr w:type="spellStart"/>
      <w:r>
        <w:rPr>
          <w:rFonts w:eastAsia="Arial"/>
          <w:color w:val="000000"/>
          <w:sz w:val="25"/>
          <w:szCs w:val="25"/>
        </w:rPr>
        <w:t>г.о</w:t>
      </w:r>
      <w:proofErr w:type="spellEnd"/>
      <w:r>
        <w:rPr>
          <w:rFonts w:eastAsia="Arial"/>
          <w:color w:val="000000"/>
          <w:sz w:val="25"/>
          <w:szCs w:val="25"/>
        </w:rPr>
        <w:t xml:space="preserve">., п. Развилка, ул. Газовиков, </w:t>
      </w:r>
      <w:proofErr w:type="spellStart"/>
      <w:r>
        <w:rPr>
          <w:rFonts w:eastAsia="Arial"/>
          <w:color w:val="000000"/>
          <w:sz w:val="25"/>
          <w:szCs w:val="25"/>
        </w:rPr>
        <w:t>зд</w:t>
      </w:r>
      <w:proofErr w:type="spellEnd"/>
      <w:r>
        <w:rPr>
          <w:rFonts w:eastAsia="Arial"/>
          <w:color w:val="000000"/>
          <w:sz w:val="25"/>
          <w:szCs w:val="25"/>
        </w:rPr>
        <w:t>. 15, стр. 1, ООО «Газпром ВНИИГАЗ».</w:t>
      </w:r>
    </w:p>
    <w:p w:rsidR="00655DA0" w:rsidRPr="00DE2D1A" w:rsidRDefault="004E4445">
      <w:pPr>
        <w:widowControl w:val="0"/>
        <w:ind w:firstLine="709"/>
        <w:contextualSpacing/>
        <w:jc w:val="both"/>
        <w:rPr>
          <w:rFonts w:eastAsia="Arial"/>
          <w:sz w:val="25"/>
          <w:szCs w:val="25"/>
        </w:rPr>
      </w:pPr>
      <w:r>
        <w:rPr>
          <w:rFonts w:eastAsia="Arial"/>
          <w:sz w:val="25"/>
          <w:szCs w:val="25"/>
        </w:rPr>
        <w:t>Тел.: +7 498 657 9673</w:t>
      </w:r>
      <w:r w:rsidR="00DE2D1A">
        <w:rPr>
          <w:rFonts w:eastAsia="Arial"/>
          <w:sz w:val="25"/>
          <w:szCs w:val="25"/>
        </w:rPr>
        <w:t>,</w:t>
      </w:r>
      <w:r w:rsidR="00DE2D1A" w:rsidRPr="00DE2D1A">
        <w:t xml:space="preserve"> </w:t>
      </w:r>
      <w:r w:rsidR="00DE2D1A" w:rsidRPr="00DE2D1A">
        <w:rPr>
          <w:rFonts w:eastAsia="Arial"/>
          <w:sz w:val="25"/>
          <w:szCs w:val="25"/>
        </w:rPr>
        <w:t>+7 812 704 0085</w:t>
      </w:r>
      <w:r w:rsidR="00DE2D1A">
        <w:rPr>
          <w:rFonts w:eastAsia="Arial"/>
          <w:sz w:val="25"/>
          <w:szCs w:val="25"/>
        </w:rPr>
        <w:t xml:space="preserve"> </w:t>
      </w:r>
    </w:p>
    <w:p w:rsidR="00655DA0" w:rsidRDefault="004E4445">
      <w:pPr>
        <w:widowControl w:val="0"/>
        <w:ind w:firstLine="709"/>
        <w:contextualSpacing/>
        <w:jc w:val="both"/>
        <w:rPr>
          <w:rFonts w:eastAsia="Arial"/>
          <w:sz w:val="25"/>
          <w:szCs w:val="25"/>
        </w:rPr>
      </w:pPr>
      <w:r>
        <w:rPr>
          <w:rFonts w:eastAsia="Arial"/>
          <w:sz w:val="25"/>
          <w:szCs w:val="25"/>
        </w:rPr>
        <w:t>Эл. почта: esgi2025@vniigaz.gazprom.ru</w:t>
      </w:r>
    </w:p>
    <w:p w:rsidR="00655DA0" w:rsidRDefault="004E4445">
      <w:pPr>
        <w:widowControl w:val="0"/>
        <w:ind w:firstLine="709"/>
        <w:contextualSpacing/>
        <w:jc w:val="both"/>
        <w:rPr>
          <w:rFonts w:eastAsia="Arial"/>
          <w:color w:val="0000FF"/>
          <w:sz w:val="25"/>
          <w:szCs w:val="25"/>
          <w:u w:val="single"/>
        </w:rPr>
      </w:pPr>
      <w:r>
        <w:rPr>
          <w:rFonts w:eastAsia="Arial"/>
          <w:sz w:val="25"/>
          <w:szCs w:val="25"/>
        </w:rPr>
        <w:t xml:space="preserve">Вебсайт: </w:t>
      </w:r>
      <w:r w:rsidR="00DE2D1A" w:rsidRPr="00DE2D1A">
        <w:rPr>
          <w:rFonts w:eastAsia="Arial"/>
          <w:sz w:val="25"/>
          <w:szCs w:val="25"/>
        </w:rPr>
        <w:t>http://www.vniigaz.gazprom.ru/events/2025/esgi-2025</w:t>
      </w:r>
    </w:p>
    <w:p w:rsidR="00655DA0" w:rsidRDefault="00655DA0">
      <w:pPr>
        <w:contextualSpacing/>
        <w:jc w:val="both"/>
        <w:rPr>
          <w:bCs/>
          <w:sz w:val="25"/>
          <w:szCs w:val="25"/>
          <w:lang w:eastAsia="ru-RU"/>
        </w:rPr>
      </w:pPr>
    </w:p>
    <w:p w:rsidR="00655DA0" w:rsidRDefault="004E4445">
      <w:pPr>
        <w:pStyle w:val="26"/>
        <w:ind w:firstLine="709"/>
        <w:contextualSpacing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Прием тезисов докладов</w:t>
      </w:r>
    </w:p>
    <w:p w:rsidR="00655DA0" w:rsidRDefault="004E4445">
      <w:pPr>
        <w:pStyle w:val="afc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Срок приема тезисов докладов – до 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21 ноября 2025 г. </w:t>
      </w:r>
      <w:r>
        <w:rPr>
          <w:rFonts w:ascii="Times New Roman" w:hAnsi="Times New Roman" w:cs="Times New Roman"/>
          <w:sz w:val="25"/>
          <w:szCs w:val="25"/>
        </w:rPr>
        <w:t xml:space="preserve">с последующим их рассмотрением Организационным комитетом конференции. Объем тезисов не должен превышать 800 знаков (макс.) на английском или русском языках с указанием авторов, компании и адреса, а также контактного лица для обмена необходимой информацией. Тезисы предоставляются в формате </w:t>
      </w:r>
      <w:r w:rsidRPr="008E7AC2">
        <w:rPr>
          <w:rFonts w:ascii="Times New Roman" w:hAnsi="Times New Roman" w:cs="Times New Roman"/>
          <w:color w:val="2C2D2E"/>
          <w:sz w:val="25"/>
          <w:szCs w:val="25"/>
          <w:shd w:val="clear" w:color="auto" w:fill="FFFFFF"/>
        </w:rPr>
        <w:t>текстового редактора</w:t>
      </w:r>
      <w:r>
        <w:rPr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и должны четко обобщать содержание предполагаемого доклада. </w:t>
      </w:r>
    </w:p>
    <w:p w:rsidR="00655DA0" w:rsidRDefault="004E4445">
      <w:pPr>
        <w:pStyle w:val="afc"/>
        <w:ind w:firstLine="72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Тезисы необходимо направить по электронной почте: esgi2025@vniigaz.gazprom.ru</w:t>
      </w:r>
    </w:p>
    <w:p w:rsidR="00655DA0" w:rsidRDefault="00655DA0">
      <w:pPr>
        <w:pStyle w:val="Default"/>
        <w:contextualSpacing/>
        <w:rPr>
          <w:rFonts w:ascii="Times New Roman" w:hAnsi="Times New Roman" w:cs="Times New Roman"/>
          <w:sz w:val="25"/>
          <w:szCs w:val="25"/>
        </w:rPr>
      </w:pPr>
    </w:p>
    <w:p w:rsidR="00655DA0" w:rsidRDefault="004E4445">
      <w:pPr>
        <w:pStyle w:val="afc"/>
        <w:ind w:firstLine="709"/>
        <w:contextualSpacing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Оргкомитет конференции </w:t>
      </w:r>
      <w:r>
        <w:rPr>
          <w:rFonts w:ascii="Times New Roman" w:hAnsi="Times New Roman" w:cs="Times New Roman"/>
          <w:b/>
          <w:bCs/>
          <w:sz w:val="25"/>
          <w:szCs w:val="25"/>
          <w:lang w:val="en-US"/>
        </w:rPr>
        <w:t>ESGI</w:t>
      </w:r>
      <w:r>
        <w:rPr>
          <w:rFonts w:ascii="Times New Roman" w:hAnsi="Times New Roman" w:cs="Times New Roman"/>
          <w:b/>
          <w:bCs/>
          <w:sz w:val="25"/>
          <w:szCs w:val="25"/>
        </w:rPr>
        <w:t>-2025</w:t>
      </w:r>
    </w:p>
    <w:p w:rsidR="00655DA0" w:rsidRDefault="004E4445">
      <w:pPr>
        <w:pStyle w:val="afc"/>
        <w:ind w:firstLine="72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ООО «Газпром ВНИИГАЗ»</w:t>
      </w:r>
    </w:p>
    <w:p w:rsidR="00655DA0" w:rsidRDefault="004E4445">
      <w:pPr>
        <w:pStyle w:val="Default"/>
        <w:ind w:firstLine="720"/>
        <w:contextualSpacing/>
        <w:jc w:val="both"/>
        <w:rPr>
          <w:rFonts w:ascii="Times New Roman" w:hAnsi="Times New Roman" w:cs="Times New Roman"/>
          <w:color w:val="auto"/>
          <w:spacing w:val="-4"/>
          <w:sz w:val="25"/>
          <w:szCs w:val="25"/>
        </w:rPr>
      </w:pPr>
      <w:r>
        <w:rPr>
          <w:rFonts w:ascii="Times New Roman" w:hAnsi="Times New Roman" w:cs="Times New Roman"/>
          <w:color w:val="auto"/>
          <w:spacing w:val="-4"/>
          <w:sz w:val="25"/>
          <w:szCs w:val="25"/>
        </w:rPr>
        <w:t xml:space="preserve">142717, Россия, Московская область, Ленинский </w:t>
      </w:r>
      <w:proofErr w:type="spellStart"/>
      <w:r>
        <w:rPr>
          <w:rFonts w:ascii="Times New Roman" w:hAnsi="Times New Roman" w:cs="Times New Roman"/>
          <w:color w:val="auto"/>
          <w:spacing w:val="-4"/>
          <w:sz w:val="25"/>
          <w:szCs w:val="25"/>
        </w:rPr>
        <w:t>г.о</w:t>
      </w:r>
      <w:proofErr w:type="spellEnd"/>
      <w:r>
        <w:rPr>
          <w:rFonts w:ascii="Times New Roman" w:hAnsi="Times New Roman" w:cs="Times New Roman"/>
          <w:color w:val="auto"/>
          <w:spacing w:val="-4"/>
          <w:sz w:val="25"/>
          <w:szCs w:val="25"/>
        </w:rPr>
        <w:t xml:space="preserve">., п. Развилка, ул. Газовиков, </w:t>
      </w:r>
      <w:proofErr w:type="spellStart"/>
      <w:r>
        <w:rPr>
          <w:rFonts w:ascii="Times New Roman" w:hAnsi="Times New Roman" w:cs="Times New Roman"/>
          <w:color w:val="auto"/>
          <w:spacing w:val="-4"/>
          <w:sz w:val="25"/>
          <w:szCs w:val="25"/>
        </w:rPr>
        <w:t>зд</w:t>
      </w:r>
      <w:proofErr w:type="spellEnd"/>
      <w:r>
        <w:rPr>
          <w:rFonts w:ascii="Times New Roman" w:hAnsi="Times New Roman" w:cs="Times New Roman"/>
          <w:color w:val="auto"/>
          <w:spacing w:val="-4"/>
          <w:sz w:val="25"/>
          <w:szCs w:val="25"/>
        </w:rPr>
        <w:t>. 15, стр. 1.</w:t>
      </w:r>
    </w:p>
    <w:p w:rsidR="003C0C5C" w:rsidRPr="003C0C5C" w:rsidRDefault="003C0C5C" w:rsidP="003C0C5C">
      <w:pPr>
        <w:widowControl w:val="0"/>
        <w:ind w:firstLine="709"/>
        <w:contextualSpacing/>
        <w:jc w:val="both"/>
        <w:rPr>
          <w:rFonts w:eastAsia="Arial"/>
          <w:sz w:val="25"/>
          <w:szCs w:val="25"/>
        </w:rPr>
      </w:pPr>
      <w:r w:rsidRPr="003C0C5C">
        <w:rPr>
          <w:rFonts w:eastAsia="Arial"/>
          <w:sz w:val="25"/>
          <w:szCs w:val="25"/>
        </w:rPr>
        <w:t>Тел.: +7 498 657 9673, +7 812 704 0085</w:t>
      </w:r>
    </w:p>
    <w:p w:rsidR="003C0C5C" w:rsidRPr="003C0C5C" w:rsidRDefault="003C0C5C" w:rsidP="003C0C5C">
      <w:pPr>
        <w:widowControl w:val="0"/>
        <w:ind w:firstLine="709"/>
        <w:contextualSpacing/>
        <w:jc w:val="both"/>
        <w:rPr>
          <w:rFonts w:eastAsia="Arial"/>
          <w:sz w:val="25"/>
          <w:szCs w:val="25"/>
        </w:rPr>
      </w:pPr>
      <w:r w:rsidRPr="003C0C5C">
        <w:rPr>
          <w:rFonts w:eastAsia="Arial"/>
          <w:sz w:val="25"/>
          <w:szCs w:val="25"/>
        </w:rPr>
        <w:t>Эл. почта: esgi2025@vniigaz.gazprom.ru</w:t>
      </w:r>
    </w:p>
    <w:p w:rsidR="003C0C5C" w:rsidRDefault="003C0C5C" w:rsidP="003C0C5C">
      <w:pPr>
        <w:widowControl w:val="0"/>
        <w:ind w:firstLine="709"/>
        <w:contextualSpacing/>
        <w:jc w:val="both"/>
        <w:rPr>
          <w:rFonts w:eastAsia="Arial"/>
          <w:color w:val="0000FF"/>
          <w:sz w:val="25"/>
          <w:szCs w:val="25"/>
          <w:u w:val="single"/>
        </w:rPr>
      </w:pPr>
      <w:r w:rsidRPr="003C0C5C">
        <w:rPr>
          <w:rFonts w:eastAsia="Arial"/>
          <w:sz w:val="25"/>
          <w:szCs w:val="25"/>
        </w:rPr>
        <w:t>Вебсайт: http://www.vniigaz.gazprom.ru/</w:t>
      </w:r>
      <w:r w:rsidRPr="003C0C5C">
        <w:rPr>
          <w:rFonts w:eastAsia="Arial"/>
          <w:sz w:val="25"/>
          <w:szCs w:val="25"/>
          <w:lang w:val="en-US"/>
        </w:rPr>
        <w:t>events</w:t>
      </w:r>
      <w:r w:rsidRPr="003C0C5C">
        <w:rPr>
          <w:rFonts w:eastAsia="Arial"/>
          <w:sz w:val="25"/>
          <w:szCs w:val="25"/>
        </w:rPr>
        <w:t>/2025/esgi-2025</w:t>
      </w:r>
      <w:r>
        <w:rPr>
          <w:rFonts w:eastAsia="Arial"/>
          <w:sz w:val="25"/>
          <w:szCs w:val="25"/>
        </w:rPr>
        <w:t xml:space="preserve"> </w:t>
      </w:r>
    </w:p>
    <w:p w:rsidR="00655DA0" w:rsidRDefault="00655DA0">
      <w:pPr>
        <w:pStyle w:val="Default"/>
        <w:ind w:firstLine="720"/>
        <w:contextualSpacing/>
        <w:rPr>
          <w:rFonts w:ascii="Times New Roman" w:hAnsi="Times New Roman" w:cs="Times New Roman"/>
          <w:color w:val="auto"/>
          <w:sz w:val="25"/>
          <w:szCs w:val="25"/>
        </w:rPr>
      </w:pPr>
    </w:p>
    <w:p w:rsidR="00655DA0" w:rsidRDefault="004E4445">
      <w:pPr>
        <w:pStyle w:val="26"/>
        <w:ind w:firstLine="709"/>
        <w:contextualSpacing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Ключевые даты</w:t>
      </w:r>
    </w:p>
    <w:tbl>
      <w:tblPr>
        <w:tblW w:w="10993" w:type="dxa"/>
        <w:tblLayout w:type="fixed"/>
        <w:tblLook w:val="0000" w:firstRow="0" w:lastRow="0" w:firstColumn="0" w:lastColumn="0" w:noHBand="0" w:noVBand="0"/>
      </w:tblPr>
      <w:tblGrid>
        <w:gridCol w:w="4678"/>
        <w:gridCol w:w="347"/>
        <w:gridCol w:w="5968"/>
      </w:tblGrid>
      <w:tr w:rsidR="00655DA0">
        <w:tc>
          <w:tcPr>
            <w:tcW w:w="4678" w:type="dxa"/>
          </w:tcPr>
          <w:p w:rsidR="00655DA0" w:rsidRDefault="004E4445">
            <w:pPr>
              <w:pStyle w:val="afc"/>
              <w:ind w:firstLine="601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Срок завершения приема тезисов</w:t>
            </w:r>
          </w:p>
        </w:tc>
        <w:tc>
          <w:tcPr>
            <w:tcW w:w="347" w:type="dxa"/>
          </w:tcPr>
          <w:p w:rsidR="00655DA0" w:rsidRDefault="004E4445">
            <w:pPr>
              <w:pStyle w:val="afc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–</w:t>
            </w:r>
          </w:p>
        </w:tc>
        <w:tc>
          <w:tcPr>
            <w:tcW w:w="5968" w:type="dxa"/>
          </w:tcPr>
          <w:p w:rsidR="00655DA0" w:rsidRDefault="004E4445">
            <w:pPr>
              <w:pStyle w:val="afc"/>
              <w:contextualSpacing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ноября 202</w:t>
            </w: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г.</w:t>
            </w:r>
          </w:p>
        </w:tc>
      </w:tr>
      <w:tr w:rsidR="00655DA0">
        <w:trPr>
          <w:trHeight w:val="80"/>
        </w:trPr>
        <w:tc>
          <w:tcPr>
            <w:tcW w:w="4678" w:type="dxa"/>
          </w:tcPr>
          <w:p w:rsidR="00655DA0" w:rsidRDefault="004E4445">
            <w:pPr>
              <w:pStyle w:val="afc"/>
              <w:ind w:firstLine="601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Срок завершения приема докладов</w:t>
            </w:r>
          </w:p>
        </w:tc>
        <w:tc>
          <w:tcPr>
            <w:tcW w:w="347" w:type="dxa"/>
          </w:tcPr>
          <w:p w:rsidR="00655DA0" w:rsidRDefault="004E4445">
            <w:pPr>
              <w:pStyle w:val="afc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–</w:t>
            </w:r>
          </w:p>
        </w:tc>
        <w:tc>
          <w:tcPr>
            <w:tcW w:w="5968" w:type="dxa"/>
          </w:tcPr>
          <w:p w:rsidR="00655DA0" w:rsidRDefault="004E4445">
            <w:pPr>
              <w:pStyle w:val="afc"/>
              <w:contextualSpacing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ноября 202</w:t>
            </w: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г.</w:t>
            </w:r>
          </w:p>
        </w:tc>
      </w:tr>
    </w:tbl>
    <w:p w:rsidR="00655DA0" w:rsidRDefault="004E4445">
      <w:pPr>
        <w:pStyle w:val="26"/>
        <w:ind w:firstLine="709"/>
        <w:contextualSpacing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lastRenderedPageBreak/>
        <w:t>Регистрационная</w:t>
      </w:r>
      <w:r>
        <w:rPr>
          <w:rFonts w:ascii="Times New Roman" w:hAnsi="Times New Roman" w:cs="Times New Roman"/>
          <w:b/>
          <w:bCs/>
          <w:sz w:val="25"/>
          <w:szCs w:val="25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5"/>
          <w:szCs w:val="25"/>
        </w:rPr>
        <w:t>форма</w:t>
      </w:r>
    </w:p>
    <w:p w:rsidR="00655DA0" w:rsidRDefault="004E4445">
      <w:pPr>
        <w:pStyle w:val="afc"/>
        <w:ind w:firstLine="72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Регистрационная форма размещена на нашем сайте </w:t>
      </w:r>
      <w:r w:rsidR="008C10B0">
        <w:rPr>
          <w:rFonts w:ascii="Times New Roman" w:hAnsi="Times New Roman" w:cs="Times New Roman"/>
          <w:sz w:val="25"/>
          <w:szCs w:val="25"/>
        </w:rPr>
        <w:t xml:space="preserve">в формате </w:t>
      </w:r>
      <w:r w:rsidR="008C10B0" w:rsidRPr="008E7AC2">
        <w:rPr>
          <w:rFonts w:ascii="Times New Roman" w:hAnsi="Times New Roman" w:cs="Times New Roman"/>
          <w:color w:val="2C2D2E"/>
          <w:sz w:val="25"/>
          <w:szCs w:val="25"/>
          <w:shd w:val="clear" w:color="auto" w:fill="FFFFFF"/>
        </w:rPr>
        <w:t>текстового редактора</w:t>
      </w:r>
      <w:r>
        <w:rPr>
          <w:rFonts w:ascii="Times New Roman" w:hAnsi="Times New Roman" w:cs="Times New Roman"/>
          <w:sz w:val="25"/>
          <w:szCs w:val="25"/>
        </w:rPr>
        <w:t xml:space="preserve">. Пожалуйста, заполните форму и направьте ее по электронной почте конференции. После получения регистрационной формы вам будет направлен договор/счет на оплату регистрационного взноса. </w:t>
      </w:r>
    </w:p>
    <w:p w:rsidR="00655DA0" w:rsidRDefault="00655DA0">
      <w:pPr>
        <w:pStyle w:val="Default"/>
        <w:rPr>
          <w:sz w:val="25"/>
          <w:szCs w:val="25"/>
        </w:rPr>
      </w:pPr>
    </w:p>
    <w:p w:rsidR="00655DA0" w:rsidRDefault="004E4445">
      <w:pPr>
        <w:pStyle w:val="26"/>
        <w:ind w:firstLine="709"/>
        <w:contextualSpacing/>
        <w:rPr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Регистрационный взнос</w:t>
      </w:r>
      <w:r>
        <w:rPr>
          <w:rFonts w:ascii="Times New Roman" w:hAnsi="Times New Roman" w:cs="Times New Roman"/>
          <w:sz w:val="25"/>
          <w:szCs w:val="25"/>
        </w:rPr>
        <w:t xml:space="preserve"> (вкл. НДС 20 %)</w:t>
      </w:r>
    </w:p>
    <w:tbl>
      <w:tblPr>
        <w:tblW w:w="103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526"/>
        <w:gridCol w:w="709"/>
        <w:gridCol w:w="3114"/>
      </w:tblGrid>
      <w:tr w:rsidR="00655DA0" w:rsidTr="00F80E0E">
        <w:tc>
          <w:tcPr>
            <w:tcW w:w="6526" w:type="dxa"/>
          </w:tcPr>
          <w:p w:rsidR="00655DA0" w:rsidRDefault="00D935BC" w:rsidP="00D935BC">
            <w:pPr>
              <w:pStyle w:val="afc"/>
              <w:ind w:firstLine="606"/>
              <w:contextualSpacing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>Участник</w:t>
            </w:r>
          </w:p>
        </w:tc>
        <w:tc>
          <w:tcPr>
            <w:tcW w:w="709" w:type="dxa"/>
          </w:tcPr>
          <w:p w:rsidR="00655DA0" w:rsidRDefault="004E4445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–</w:t>
            </w:r>
          </w:p>
        </w:tc>
        <w:tc>
          <w:tcPr>
            <w:tcW w:w="3114" w:type="dxa"/>
          </w:tcPr>
          <w:p w:rsidR="00655DA0" w:rsidRDefault="004E4445">
            <w:pPr>
              <w:pStyle w:val="Default"/>
              <w:contextualSpacing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110 000 рублей</w:t>
            </w:r>
          </w:p>
        </w:tc>
      </w:tr>
      <w:tr w:rsidR="00655DA0" w:rsidTr="00F80E0E">
        <w:tc>
          <w:tcPr>
            <w:tcW w:w="6526" w:type="dxa"/>
          </w:tcPr>
          <w:p w:rsidR="00655DA0" w:rsidRDefault="004E4445" w:rsidP="00F80E0E">
            <w:pPr>
              <w:pStyle w:val="afc"/>
              <w:ind w:firstLine="606"/>
              <w:contextualSpacing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Представитель дочернего общества </w:t>
            </w:r>
            <w:r w:rsidR="00F80E0E">
              <w:rPr>
                <w:rFonts w:ascii="Times New Roman" w:hAnsi="Times New Roman" w:cs="Times New Roman"/>
                <w:bCs/>
                <w:sz w:val="25"/>
                <w:szCs w:val="25"/>
              </w:rPr>
              <w:t>П</w:t>
            </w: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>АО «Газпром»</w:t>
            </w:r>
          </w:p>
        </w:tc>
        <w:tc>
          <w:tcPr>
            <w:tcW w:w="709" w:type="dxa"/>
          </w:tcPr>
          <w:p w:rsidR="00655DA0" w:rsidRDefault="004E4445">
            <w:pPr>
              <w:pStyle w:val="afc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–</w:t>
            </w:r>
          </w:p>
        </w:tc>
        <w:tc>
          <w:tcPr>
            <w:tcW w:w="3114" w:type="dxa"/>
          </w:tcPr>
          <w:p w:rsidR="00655DA0" w:rsidRDefault="004E4445">
            <w:pPr>
              <w:pStyle w:val="afc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65 000 рублей</w:t>
            </w: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</w:p>
        </w:tc>
      </w:tr>
    </w:tbl>
    <w:p w:rsidR="00655DA0" w:rsidRDefault="004E4445">
      <w:pPr>
        <w:ind w:firstLine="709"/>
        <w:contextualSpacing/>
        <w:jc w:val="both"/>
        <w:rPr>
          <w:rFonts w:eastAsia="Arial"/>
          <w:color w:val="000000"/>
          <w:sz w:val="25"/>
          <w:szCs w:val="25"/>
        </w:rPr>
      </w:pPr>
      <w:r>
        <w:rPr>
          <w:rFonts w:eastAsia="Arial"/>
          <w:color w:val="000000"/>
          <w:sz w:val="25"/>
          <w:szCs w:val="25"/>
        </w:rPr>
        <w:t>Представители дочернего общества ПАО «Газпром» (до 2-х человек), представители Администрации ПАО «Газпром», органов государственной власти, профильных институтов РАН, научных центров, вузов РФ и стран СНГ освобождаются от уплаты регистрационного взноса.</w:t>
      </w:r>
    </w:p>
    <w:p w:rsidR="00655DA0" w:rsidRDefault="00655DA0">
      <w:pPr>
        <w:pStyle w:val="Default"/>
        <w:contextualSpacing/>
        <w:rPr>
          <w:rFonts w:ascii="Times New Roman" w:hAnsi="Times New Roman" w:cs="Times New Roman"/>
          <w:sz w:val="25"/>
          <w:szCs w:val="25"/>
        </w:rPr>
      </w:pPr>
    </w:p>
    <w:p w:rsidR="00655DA0" w:rsidRDefault="004E4445">
      <w:pPr>
        <w:pStyle w:val="afc"/>
        <w:ind w:firstLine="709"/>
        <w:contextualSpacing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Регистрационный взнос включает</w:t>
      </w:r>
    </w:p>
    <w:p w:rsidR="00655DA0" w:rsidRDefault="004E4445">
      <w:pPr>
        <w:pStyle w:val="afc"/>
        <w:tabs>
          <w:tab w:val="left" w:pos="284"/>
          <w:tab w:val="left" w:pos="1004"/>
        </w:tabs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 участие во всех секциях конференции;</w:t>
      </w:r>
    </w:p>
    <w:p w:rsidR="00655DA0" w:rsidRDefault="004E4445">
      <w:pPr>
        <w:pStyle w:val="afc"/>
        <w:tabs>
          <w:tab w:val="left" w:pos="284"/>
          <w:tab w:val="left" w:pos="1004"/>
        </w:tabs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 пакет участника (блокнот, программа, сборник тезисов, ручка, сувенир);</w:t>
      </w:r>
    </w:p>
    <w:p w:rsidR="00655DA0" w:rsidRDefault="004E4445">
      <w:pPr>
        <w:pStyle w:val="afc"/>
        <w:tabs>
          <w:tab w:val="left" w:pos="284"/>
          <w:tab w:val="left" w:pos="1004"/>
        </w:tabs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 материалы конференции (будут направлены после окончания работы конференции);</w:t>
      </w:r>
    </w:p>
    <w:p w:rsidR="00655DA0" w:rsidRDefault="004E4445">
      <w:pPr>
        <w:pStyle w:val="afc"/>
        <w:tabs>
          <w:tab w:val="left" w:pos="284"/>
          <w:tab w:val="left" w:pos="1004"/>
        </w:tabs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– посещение выставки </w:t>
      </w:r>
      <w:r>
        <w:rPr>
          <w:rFonts w:ascii="Times New Roman" w:hAnsi="Times New Roman" w:cs="Times New Roman"/>
          <w:sz w:val="25"/>
          <w:szCs w:val="25"/>
          <w:lang w:val="en-US"/>
        </w:rPr>
        <w:t>ESGI</w:t>
      </w:r>
      <w:r>
        <w:rPr>
          <w:rFonts w:ascii="Times New Roman" w:hAnsi="Times New Roman" w:cs="Times New Roman"/>
          <w:sz w:val="25"/>
          <w:szCs w:val="25"/>
        </w:rPr>
        <w:t>-2025;</w:t>
      </w:r>
    </w:p>
    <w:p w:rsidR="00655DA0" w:rsidRDefault="004E4445">
      <w:pPr>
        <w:pStyle w:val="afc"/>
        <w:tabs>
          <w:tab w:val="left" w:pos="284"/>
          <w:tab w:val="left" w:pos="1004"/>
        </w:tabs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 прием в честь открытия конференции;</w:t>
      </w:r>
    </w:p>
    <w:p w:rsidR="00655DA0" w:rsidRDefault="004E4445">
      <w:pPr>
        <w:pStyle w:val="afc"/>
        <w:tabs>
          <w:tab w:val="left" w:pos="284"/>
          <w:tab w:val="left" w:pos="1004"/>
        </w:tabs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– кофе-брейки, обеды.</w:t>
      </w:r>
    </w:p>
    <w:p w:rsidR="00655DA0" w:rsidRDefault="00655DA0">
      <w:pPr>
        <w:pStyle w:val="Default"/>
        <w:contextualSpacing/>
        <w:rPr>
          <w:rFonts w:ascii="Times New Roman" w:hAnsi="Times New Roman" w:cs="Times New Roman"/>
          <w:sz w:val="25"/>
          <w:szCs w:val="25"/>
        </w:rPr>
      </w:pPr>
    </w:p>
    <w:p w:rsidR="00655DA0" w:rsidRDefault="004E4445">
      <w:pPr>
        <w:pStyle w:val="2"/>
        <w:numPr>
          <w:ilvl w:val="0"/>
          <w:numId w:val="0"/>
        </w:numPr>
        <w:ind w:left="720"/>
        <w:contextualSpacing/>
        <w:rPr>
          <w:rFonts w:ascii="Times New Roman" w:eastAsia="Arial" w:hAnsi="Times New Roman" w:cs="Times New Roman"/>
          <w:color w:val="auto"/>
          <w:sz w:val="25"/>
          <w:szCs w:val="25"/>
          <w:lang w:val="ru-RU"/>
        </w:rPr>
      </w:pPr>
      <w:r>
        <w:rPr>
          <w:rFonts w:ascii="Times New Roman" w:eastAsia="Arial" w:hAnsi="Times New Roman" w:cs="Times New Roman"/>
          <w:color w:val="auto"/>
          <w:sz w:val="25"/>
          <w:szCs w:val="25"/>
          <w:lang w:val="ru-RU"/>
        </w:rPr>
        <w:t>Место проведения конференции и выставки</w:t>
      </w:r>
    </w:p>
    <w:p w:rsidR="00655DA0" w:rsidRDefault="004E4445">
      <w:pPr>
        <w:pStyle w:val="Default"/>
        <w:ind w:firstLine="720"/>
        <w:contextualSpacing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Россия, Московская обл., Ленинский </w:t>
      </w:r>
      <w:proofErr w:type="spellStart"/>
      <w:r>
        <w:rPr>
          <w:rFonts w:ascii="Times New Roman" w:hAnsi="Times New Roman" w:cs="Times New Roman"/>
          <w:sz w:val="25"/>
          <w:szCs w:val="25"/>
        </w:rPr>
        <w:t>г.о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., п. Развилка, ул. Газовиков, </w:t>
      </w:r>
      <w:proofErr w:type="spellStart"/>
      <w:r>
        <w:rPr>
          <w:rFonts w:ascii="Times New Roman" w:hAnsi="Times New Roman" w:cs="Times New Roman"/>
          <w:sz w:val="25"/>
          <w:szCs w:val="25"/>
        </w:rPr>
        <w:t>зд</w:t>
      </w:r>
      <w:proofErr w:type="spellEnd"/>
      <w:r>
        <w:rPr>
          <w:rFonts w:ascii="Times New Roman" w:hAnsi="Times New Roman" w:cs="Times New Roman"/>
          <w:sz w:val="25"/>
          <w:szCs w:val="25"/>
        </w:rPr>
        <w:t>. 15, стр. 1.</w:t>
      </w:r>
    </w:p>
    <w:p w:rsidR="00655DA0" w:rsidRDefault="00655DA0">
      <w:pPr>
        <w:pStyle w:val="Default"/>
        <w:contextualSpacing/>
        <w:rPr>
          <w:rFonts w:ascii="Times New Roman" w:hAnsi="Times New Roman" w:cs="Times New Roman"/>
          <w:bCs/>
          <w:sz w:val="25"/>
          <w:szCs w:val="25"/>
        </w:rPr>
      </w:pPr>
    </w:p>
    <w:p w:rsidR="00655DA0" w:rsidRDefault="00655DA0">
      <w:pPr>
        <w:pStyle w:val="Default"/>
        <w:contextualSpacing/>
        <w:rPr>
          <w:rFonts w:ascii="Times New Roman" w:hAnsi="Times New Roman" w:cs="Times New Roman"/>
          <w:sz w:val="25"/>
          <w:szCs w:val="25"/>
        </w:rPr>
      </w:pPr>
    </w:p>
    <w:p w:rsidR="00655DA0" w:rsidRDefault="00655DA0">
      <w:pPr>
        <w:pStyle w:val="Default"/>
        <w:contextualSpacing/>
        <w:rPr>
          <w:rFonts w:ascii="Times New Roman" w:hAnsi="Times New Roman" w:cs="Times New Roman"/>
          <w:sz w:val="25"/>
          <w:szCs w:val="25"/>
        </w:rPr>
      </w:pPr>
    </w:p>
    <w:p w:rsidR="00655DA0" w:rsidRDefault="00655DA0">
      <w:pPr>
        <w:pStyle w:val="Default"/>
        <w:contextualSpacing/>
        <w:rPr>
          <w:rFonts w:ascii="Times New Roman" w:hAnsi="Times New Roman" w:cs="Times New Roman"/>
          <w:sz w:val="25"/>
          <w:szCs w:val="25"/>
        </w:rPr>
      </w:pPr>
    </w:p>
    <w:p w:rsidR="00655DA0" w:rsidRDefault="00655DA0">
      <w:pPr>
        <w:pStyle w:val="Default"/>
        <w:contextualSpacing/>
        <w:rPr>
          <w:rFonts w:ascii="Times New Roman" w:hAnsi="Times New Roman" w:cs="Times New Roman"/>
          <w:sz w:val="25"/>
          <w:szCs w:val="25"/>
        </w:rPr>
      </w:pPr>
    </w:p>
    <w:p w:rsidR="00655DA0" w:rsidRDefault="00655DA0">
      <w:pPr>
        <w:pStyle w:val="Default"/>
        <w:contextualSpacing/>
        <w:rPr>
          <w:rFonts w:ascii="Times New Roman" w:hAnsi="Times New Roman" w:cs="Times New Roman"/>
          <w:sz w:val="25"/>
          <w:szCs w:val="25"/>
        </w:rPr>
      </w:pPr>
    </w:p>
    <w:p w:rsidR="00655DA0" w:rsidRDefault="00655DA0">
      <w:pPr>
        <w:pStyle w:val="Default"/>
        <w:contextualSpacing/>
        <w:rPr>
          <w:rFonts w:ascii="Times New Roman" w:hAnsi="Times New Roman" w:cs="Times New Roman"/>
          <w:sz w:val="25"/>
          <w:szCs w:val="25"/>
        </w:rPr>
      </w:pPr>
    </w:p>
    <w:p w:rsidR="00655DA0" w:rsidRDefault="00655DA0">
      <w:pPr>
        <w:pStyle w:val="Default"/>
        <w:contextualSpacing/>
        <w:rPr>
          <w:rFonts w:ascii="Times New Roman" w:hAnsi="Times New Roman" w:cs="Times New Roman"/>
          <w:sz w:val="25"/>
          <w:szCs w:val="25"/>
        </w:rPr>
      </w:pPr>
    </w:p>
    <w:p w:rsidR="00655DA0" w:rsidRDefault="00655DA0">
      <w:pPr>
        <w:pStyle w:val="Default"/>
        <w:contextualSpacing/>
        <w:rPr>
          <w:rFonts w:ascii="Times New Roman" w:hAnsi="Times New Roman" w:cs="Times New Roman"/>
          <w:sz w:val="25"/>
          <w:szCs w:val="25"/>
        </w:rPr>
      </w:pPr>
    </w:p>
    <w:p w:rsidR="00655DA0" w:rsidRDefault="00655DA0">
      <w:pPr>
        <w:pStyle w:val="Default"/>
        <w:contextualSpacing/>
        <w:rPr>
          <w:rFonts w:ascii="Times New Roman" w:hAnsi="Times New Roman" w:cs="Times New Roman"/>
          <w:sz w:val="25"/>
          <w:szCs w:val="25"/>
        </w:rPr>
      </w:pPr>
    </w:p>
    <w:p w:rsidR="00655DA0" w:rsidRDefault="00655DA0">
      <w:pPr>
        <w:pStyle w:val="Default"/>
        <w:contextualSpacing/>
        <w:rPr>
          <w:rFonts w:ascii="Times New Roman" w:hAnsi="Times New Roman" w:cs="Times New Roman"/>
          <w:sz w:val="25"/>
          <w:szCs w:val="25"/>
        </w:rPr>
      </w:pPr>
    </w:p>
    <w:p w:rsidR="00655DA0" w:rsidRDefault="00655DA0">
      <w:pPr>
        <w:pStyle w:val="Default"/>
        <w:contextualSpacing/>
        <w:rPr>
          <w:rFonts w:ascii="Times New Roman" w:hAnsi="Times New Roman" w:cs="Times New Roman"/>
          <w:sz w:val="25"/>
          <w:szCs w:val="25"/>
        </w:rPr>
      </w:pPr>
    </w:p>
    <w:p w:rsidR="00655DA0" w:rsidRDefault="00655DA0">
      <w:pPr>
        <w:pStyle w:val="Default"/>
        <w:contextualSpacing/>
        <w:rPr>
          <w:rFonts w:ascii="Times New Roman" w:hAnsi="Times New Roman" w:cs="Times New Roman"/>
          <w:sz w:val="25"/>
          <w:szCs w:val="25"/>
        </w:rPr>
      </w:pPr>
    </w:p>
    <w:p w:rsidR="00655DA0" w:rsidRDefault="00655DA0">
      <w:pPr>
        <w:pStyle w:val="Default"/>
        <w:contextualSpacing/>
        <w:rPr>
          <w:rFonts w:ascii="Times New Roman" w:hAnsi="Times New Roman" w:cs="Times New Roman"/>
          <w:sz w:val="25"/>
          <w:szCs w:val="25"/>
        </w:rPr>
      </w:pPr>
    </w:p>
    <w:p w:rsidR="00655DA0" w:rsidRDefault="00655DA0">
      <w:pPr>
        <w:pStyle w:val="Default"/>
        <w:contextualSpacing/>
        <w:rPr>
          <w:rFonts w:ascii="Times New Roman" w:hAnsi="Times New Roman" w:cs="Times New Roman"/>
          <w:sz w:val="25"/>
          <w:szCs w:val="25"/>
        </w:rPr>
      </w:pPr>
    </w:p>
    <w:p w:rsidR="00655DA0" w:rsidRDefault="00655DA0">
      <w:pPr>
        <w:pStyle w:val="Default"/>
        <w:contextualSpacing/>
        <w:rPr>
          <w:rFonts w:ascii="Times New Roman" w:hAnsi="Times New Roman" w:cs="Times New Roman"/>
          <w:sz w:val="25"/>
          <w:szCs w:val="25"/>
        </w:rPr>
      </w:pPr>
    </w:p>
    <w:p w:rsidR="00655DA0" w:rsidRDefault="004E4445">
      <w:pPr>
        <w:contextualSpacing/>
        <w:rPr>
          <w:rFonts w:eastAsia="Arial"/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br w:type="page" w:clear="all"/>
      </w:r>
    </w:p>
    <w:p w:rsidR="00655DA0" w:rsidRDefault="004E4445">
      <w:pPr>
        <w:pStyle w:val="16"/>
        <w:contextualSpacing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lastRenderedPageBreak/>
        <w:t>РЕГИСТРАЦИОННАЯ ФОРМА</w:t>
      </w:r>
    </w:p>
    <w:p w:rsidR="00655DA0" w:rsidRDefault="004E4445">
      <w:pPr>
        <w:pStyle w:val="16"/>
        <w:contextualSpacing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УЧАСТНИКА КОНФЕРЕНЦИИ </w:t>
      </w:r>
      <w:r>
        <w:rPr>
          <w:rFonts w:ascii="Times New Roman" w:hAnsi="Times New Roman" w:cs="Times New Roman"/>
          <w:b/>
          <w:bCs/>
          <w:sz w:val="25"/>
          <w:szCs w:val="25"/>
          <w:lang w:val="en-US"/>
        </w:rPr>
        <w:t>ESGI</w:t>
      </w:r>
      <w:r>
        <w:rPr>
          <w:rFonts w:ascii="Times New Roman" w:hAnsi="Times New Roman" w:cs="Times New Roman"/>
          <w:b/>
          <w:bCs/>
          <w:sz w:val="25"/>
          <w:szCs w:val="25"/>
        </w:rPr>
        <w:t>-2025</w:t>
      </w:r>
    </w:p>
    <w:p w:rsidR="00655DA0" w:rsidRDefault="00655DA0">
      <w:pPr>
        <w:pStyle w:val="afc"/>
        <w:ind w:left="720"/>
        <w:contextualSpacing/>
        <w:jc w:val="center"/>
        <w:rPr>
          <w:rFonts w:ascii="Times New Roman" w:hAnsi="Times New Roman" w:cs="Times New Roman"/>
          <w:sz w:val="25"/>
          <w:szCs w:val="25"/>
        </w:rPr>
      </w:pPr>
    </w:p>
    <w:p w:rsidR="00655DA0" w:rsidRDefault="004E4445">
      <w:pPr>
        <w:pStyle w:val="afc"/>
        <w:contextualSpacing/>
        <w:jc w:val="both"/>
        <w:rPr>
          <w:rFonts w:ascii="Times New Roman" w:hAnsi="Times New Roman" w:cs="Times New Roman"/>
          <w:i/>
          <w:iCs/>
          <w:sz w:val="25"/>
          <w:szCs w:val="25"/>
        </w:rPr>
      </w:pPr>
      <w:r>
        <w:rPr>
          <w:rFonts w:ascii="Times New Roman" w:hAnsi="Times New Roman" w:cs="Times New Roman"/>
          <w:i/>
          <w:iCs/>
          <w:sz w:val="25"/>
          <w:szCs w:val="25"/>
        </w:rPr>
        <w:t xml:space="preserve">Просим заполнить прилагаемую регистрационную форму и выслать ее по электронной почте или факсу в адрес Оргкомитета конференции </w:t>
      </w:r>
      <w:r>
        <w:rPr>
          <w:rFonts w:ascii="Times New Roman" w:hAnsi="Times New Roman" w:cs="Times New Roman"/>
          <w:bCs/>
          <w:i/>
          <w:iCs/>
          <w:sz w:val="25"/>
          <w:szCs w:val="25"/>
          <w:lang w:val="en-US"/>
        </w:rPr>
        <w:t>ESGI</w:t>
      </w:r>
      <w:r>
        <w:rPr>
          <w:rFonts w:ascii="Times New Roman" w:hAnsi="Times New Roman" w:cs="Times New Roman"/>
          <w:bCs/>
          <w:i/>
          <w:iCs/>
          <w:sz w:val="25"/>
          <w:szCs w:val="25"/>
        </w:rPr>
        <w:t>-2025</w:t>
      </w:r>
      <w:r>
        <w:rPr>
          <w:rFonts w:ascii="Times New Roman" w:hAnsi="Times New Roman" w:cs="Times New Roman"/>
          <w:i/>
          <w:iCs/>
          <w:sz w:val="25"/>
          <w:szCs w:val="25"/>
        </w:rPr>
        <w:t>.</w:t>
      </w:r>
    </w:p>
    <w:p w:rsidR="00655DA0" w:rsidRDefault="004E4445">
      <w:pPr>
        <w:pStyle w:val="afc"/>
        <w:ind w:left="720" w:hanging="720"/>
        <w:contextualSpacing/>
        <w:jc w:val="both"/>
        <w:rPr>
          <w:rFonts w:ascii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Эл. почта: </w:t>
      </w:r>
      <w:proofErr w:type="spellStart"/>
      <w:r>
        <w:rPr>
          <w:rFonts w:ascii="Times New Roman" w:hAnsi="Times New Roman" w:cs="Times New Roman"/>
          <w:bCs/>
          <w:i/>
          <w:iCs/>
          <w:color w:val="000000"/>
          <w:sz w:val="25"/>
          <w:szCs w:val="25"/>
          <w:lang w:val="en-US"/>
        </w:rPr>
        <w:t>esgi</w:t>
      </w:r>
      <w:proofErr w:type="spellEnd"/>
      <w:r>
        <w:rPr>
          <w:rFonts w:ascii="Times New Roman" w:hAnsi="Times New Roman" w:cs="Times New Roman"/>
          <w:bCs/>
          <w:i/>
          <w:iCs/>
          <w:color w:val="000000"/>
          <w:sz w:val="25"/>
          <w:szCs w:val="25"/>
        </w:rPr>
        <w:t>2025</w:t>
      </w:r>
      <w:r>
        <w:rPr>
          <w:rFonts w:ascii="Times New Roman" w:hAnsi="Times New Roman" w:cs="Times New Roman"/>
          <w:i/>
          <w:iCs/>
          <w:color w:val="000000"/>
          <w:sz w:val="25"/>
          <w:szCs w:val="25"/>
        </w:rPr>
        <w:t>@vniigaz.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5"/>
          <w:szCs w:val="25"/>
          <w:lang w:val="en-US"/>
        </w:rPr>
        <w:t>gazprom</w:t>
      </w:r>
      <w:proofErr w:type="spellEnd"/>
      <w:r>
        <w:rPr>
          <w:rFonts w:ascii="Times New Roman" w:hAnsi="Times New Roman" w:cs="Times New Roman"/>
          <w:i/>
          <w:iCs/>
          <w:color w:val="000000"/>
          <w:sz w:val="25"/>
          <w:szCs w:val="25"/>
        </w:rPr>
        <w:t>.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5"/>
          <w:szCs w:val="25"/>
        </w:rPr>
        <w:t>ru</w:t>
      </w:r>
      <w:proofErr w:type="spellEnd"/>
      <w:r>
        <w:rPr>
          <w:rFonts w:ascii="Times New Roman" w:hAnsi="Times New Roman" w:cs="Times New Roman"/>
          <w:i/>
          <w:iCs/>
          <w:color w:val="000000"/>
          <w:sz w:val="25"/>
          <w:szCs w:val="25"/>
        </w:rPr>
        <w:t>, тел.: +7 (498) 657-96-73</w:t>
      </w:r>
      <w:r w:rsidR="00F530B2">
        <w:rPr>
          <w:rFonts w:ascii="Times New Roman" w:hAnsi="Times New Roman" w:cs="Times New Roman"/>
          <w:i/>
          <w:iCs/>
          <w:color w:val="000000"/>
          <w:sz w:val="25"/>
          <w:szCs w:val="25"/>
        </w:rPr>
        <w:t>,</w:t>
      </w:r>
      <w:r w:rsidR="00F530B2" w:rsidRPr="00F530B2">
        <w:rPr>
          <w:rFonts w:ascii="Times New Roman" w:hAnsi="Times New Roman" w:cs="Times New Roman"/>
          <w:sz w:val="25"/>
          <w:szCs w:val="25"/>
        </w:rPr>
        <w:t xml:space="preserve"> </w:t>
      </w:r>
      <w:r w:rsidR="00F530B2" w:rsidRPr="00DE2D1A">
        <w:rPr>
          <w:rFonts w:ascii="Times New Roman" w:hAnsi="Times New Roman" w:cs="Times New Roman"/>
          <w:i/>
          <w:iCs/>
          <w:color w:val="000000"/>
          <w:sz w:val="25"/>
          <w:szCs w:val="25"/>
        </w:rPr>
        <w:t>+7 812 704 0085</w:t>
      </w:r>
      <w:bookmarkStart w:id="0" w:name="_GoBack"/>
      <w:bookmarkEnd w:id="0"/>
    </w:p>
    <w:p w:rsidR="00655DA0" w:rsidRDefault="004E4445">
      <w:pPr>
        <w:pStyle w:val="afc"/>
        <w:ind w:left="720" w:hanging="720"/>
        <w:contextualSpacing/>
        <w:rPr>
          <w:rFonts w:ascii="Times New Roman" w:hAnsi="Times New Roman" w:cs="Times New Roman"/>
          <w:i/>
          <w:iCs/>
          <w:sz w:val="25"/>
          <w:szCs w:val="25"/>
        </w:rPr>
      </w:pPr>
      <w:r>
        <w:rPr>
          <w:rFonts w:ascii="Times New Roman" w:hAnsi="Times New Roman" w:cs="Times New Roman"/>
          <w:i/>
          <w:iCs/>
          <w:color w:val="000000"/>
          <w:sz w:val="25"/>
          <w:szCs w:val="25"/>
        </w:rPr>
        <w:t>Регистрационная форма оформляется на каждого участника.</w:t>
      </w:r>
    </w:p>
    <w:p w:rsidR="00655DA0" w:rsidRDefault="00655DA0">
      <w:pPr>
        <w:pStyle w:val="afc"/>
        <w:ind w:left="720"/>
        <w:contextualSpacing/>
        <w:rPr>
          <w:rFonts w:ascii="Times New Roman" w:hAnsi="Times New Roman" w:cs="Times New Roman"/>
          <w:b/>
          <w:bCs/>
          <w:sz w:val="25"/>
          <w:szCs w:val="25"/>
        </w:rPr>
      </w:pPr>
    </w:p>
    <w:tbl>
      <w:tblPr>
        <w:tblW w:w="10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1168"/>
        <w:gridCol w:w="485"/>
        <w:gridCol w:w="899"/>
        <w:gridCol w:w="1111"/>
        <w:gridCol w:w="1080"/>
        <w:gridCol w:w="2641"/>
      </w:tblGrid>
      <w:tr w:rsidR="00655DA0">
        <w:tc>
          <w:tcPr>
            <w:tcW w:w="2972" w:type="dxa"/>
          </w:tcPr>
          <w:p w:rsidR="00655DA0" w:rsidRDefault="004E4445">
            <w:pPr>
              <w:pStyle w:val="afc"/>
              <w:ind w:right="-108"/>
              <w:contextualSpacing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Фамилия</w:t>
            </w:r>
          </w:p>
        </w:tc>
        <w:tc>
          <w:tcPr>
            <w:tcW w:w="7384" w:type="dxa"/>
            <w:gridSpan w:val="6"/>
          </w:tcPr>
          <w:p w:rsidR="00655DA0" w:rsidRDefault="00655DA0">
            <w:pPr>
              <w:pStyle w:val="afc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55DA0">
        <w:tc>
          <w:tcPr>
            <w:tcW w:w="2972" w:type="dxa"/>
          </w:tcPr>
          <w:p w:rsidR="00655DA0" w:rsidRDefault="004E4445">
            <w:pPr>
              <w:pStyle w:val="afc"/>
              <w:contextualSpacing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Имя, отчество</w:t>
            </w:r>
          </w:p>
        </w:tc>
        <w:tc>
          <w:tcPr>
            <w:tcW w:w="7384" w:type="dxa"/>
            <w:gridSpan w:val="6"/>
          </w:tcPr>
          <w:p w:rsidR="00655DA0" w:rsidRDefault="00655DA0">
            <w:pPr>
              <w:pStyle w:val="afc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55DA0">
        <w:tc>
          <w:tcPr>
            <w:tcW w:w="2972" w:type="dxa"/>
          </w:tcPr>
          <w:p w:rsidR="00655DA0" w:rsidRDefault="004E4445">
            <w:pPr>
              <w:pStyle w:val="afc"/>
              <w:contextualSpacing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Должность</w:t>
            </w:r>
          </w:p>
        </w:tc>
        <w:tc>
          <w:tcPr>
            <w:tcW w:w="7384" w:type="dxa"/>
            <w:gridSpan w:val="6"/>
          </w:tcPr>
          <w:p w:rsidR="00655DA0" w:rsidRDefault="00655DA0">
            <w:pPr>
              <w:pStyle w:val="afc"/>
              <w:tabs>
                <w:tab w:val="left" w:pos="4905"/>
              </w:tabs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55DA0">
        <w:trPr>
          <w:trHeight w:val="505"/>
        </w:trPr>
        <w:tc>
          <w:tcPr>
            <w:tcW w:w="2972" w:type="dxa"/>
          </w:tcPr>
          <w:p w:rsidR="00655DA0" w:rsidRDefault="004E4445">
            <w:pPr>
              <w:pStyle w:val="afc"/>
              <w:ind w:right="-122"/>
              <w:contextualSpacing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Компания</w:t>
            </w:r>
          </w:p>
        </w:tc>
        <w:tc>
          <w:tcPr>
            <w:tcW w:w="7384" w:type="dxa"/>
            <w:gridSpan w:val="6"/>
          </w:tcPr>
          <w:p w:rsidR="00655DA0" w:rsidRDefault="00655DA0">
            <w:pPr>
              <w:pStyle w:val="afc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55DA0">
        <w:trPr>
          <w:trHeight w:val="505"/>
        </w:trPr>
        <w:tc>
          <w:tcPr>
            <w:tcW w:w="2972" w:type="dxa"/>
          </w:tcPr>
          <w:p w:rsidR="00655DA0" w:rsidRDefault="004E4445">
            <w:pPr>
              <w:pStyle w:val="afc"/>
              <w:ind w:right="-122"/>
              <w:contextualSpacing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Официальное название компании на английском языке</w:t>
            </w:r>
          </w:p>
        </w:tc>
        <w:tc>
          <w:tcPr>
            <w:tcW w:w="7384" w:type="dxa"/>
            <w:gridSpan w:val="6"/>
          </w:tcPr>
          <w:p w:rsidR="00655DA0" w:rsidRDefault="00655DA0">
            <w:pPr>
              <w:pStyle w:val="afc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55DA0">
        <w:trPr>
          <w:trHeight w:val="488"/>
        </w:trPr>
        <w:tc>
          <w:tcPr>
            <w:tcW w:w="2972" w:type="dxa"/>
          </w:tcPr>
          <w:p w:rsidR="00655DA0" w:rsidRDefault="004E4445">
            <w:pPr>
              <w:pStyle w:val="afc"/>
              <w:ind w:right="-122"/>
              <w:contextualSpacing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Название доклада</w:t>
            </w:r>
          </w:p>
        </w:tc>
        <w:tc>
          <w:tcPr>
            <w:tcW w:w="7384" w:type="dxa"/>
            <w:gridSpan w:val="6"/>
          </w:tcPr>
          <w:p w:rsidR="00655DA0" w:rsidRDefault="00655DA0">
            <w:pPr>
              <w:pStyle w:val="Default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655DA0" w:rsidRDefault="00655DA0">
            <w:pPr>
              <w:pStyle w:val="Default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55DA0">
        <w:trPr>
          <w:trHeight w:val="326"/>
        </w:trPr>
        <w:tc>
          <w:tcPr>
            <w:tcW w:w="2972" w:type="dxa"/>
          </w:tcPr>
          <w:p w:rsidR="00655DA0" w:rsidRDefault="004E4445">
            <w:pPr>
              <w:pStyle w:val="afc"/>
              <w:ind w:right="-266"/>
              <w:contextualSpacing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Почтовый адрес</w:t>
            </w:r>
          </w:p>
        </w:tc>
        <w:tc>
          <w:tcPr>
            <w:tcW w:w="7384" w:type="dxa"/>
            <w:gridSpan w:val="6"/>
          </w:tcPr>
          <w:p w:rsidR="00655DA0" w:rsidRDefault="00655DA0">
            <w:pPr>
              <w:contextualSpacing/>
              <w:rPr>
                <w:bCs/>
                <w:sz w:val="25"/>
                <w:szCs w:val="25"/>
              </w:rPr>
            </w:pPr>
          </w:p>
        </w:tc>
      </w:tr>
      <w:tr w:rsidR="00655DA0">
        <w:trPr>
          <w:trHeight w:val="275"/>
        </w:trPr>
        <w:tc>
          <w:tcPr>
            <w:tcW w:w="2972" w:type="dxa"/>
          </w:tcPr>
          <w:p w:rsidR="00655DA0" w:rsidRDefault="00655DA0">
            <w:pPr>
              <w:pStyle w:val="afc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84" w:type="dxa"/>
            <w:gridSpan w:val="6"/>
          </w:tcPr>
          <w:p w:rsidR="00655DA0" w:rsidRDefault="00655DA0">
            <w:pPr>
              <w:pStyle w:val="afc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55DA0">
        <w:trPr>
          <w:trHeight w:val="326"/>
        </w:trPr>
        <w:tc>
          <w:tcPr>
            <w:tcW w:w="2972" w:type="dxa"/>
          </w:tcPr>
          <w:p w:rsidR="00655DA0" w:rsidRDefault="004E4445">
            <w:pPr>
              <w:pStyle w:val="afc"/>
              <w:contextualSpacing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Реквизиты компании*</w:t>
            </w:r>
          </w:p>
        </w:tc>
        <w:tc>
          <w:tcPr>
            <w:tcW w:w="7384" w:type="dxa"/>
            <w:gridSpan w:val="6"/>
          </w:tcPr>
          <w:p w:rsidR="00655DA0" w:rsidRDefault="00655DA0">
            <w:pPr>
              <w:pStyle w:val="afc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55DA0">
        <w:trPr>
          <w:trHeight w:val="391"/>
        </w:trPr>
        <w:tc>
          <w:tcPr>
            <w:tcW w:w="2972" w:type="dxa"/>
          </w:tcPr>
          <w:p w:rsidR="00655DA0" w:rsidRDefault="00655DA0">
            <w:pPr>
              <w:pStyle w:val="afc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743" w:type="dxa"/>
            <w:gridSpan w:val="5"/>
          </w:tcPr>
          <w:p w:rsidR="00655DA0" w:rsidRDefault="004E4445">
            <w:pPr>
              <w:pStyle w:val="afc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ИНН</w:t>
            </w:r>
          </w:p>
        </w:tc>
        <w:tc>
          <w:tcPr>
            <w:tcW w:w="2641" w:type="dxa"/>
          </w:tcPr>
          <w:p w:rsidR="00655DA0" w:rsidRDefault="004E4445">
            <w:pPr>
              <w:pStyle w:val="afc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КПП</w:t>
            </w:r>
          </w:p>
        </w:tc>
      </w:tr>
      <w:tr w:rsidR="00655DA0">
        <w:trPr>
          <w:trHeight w:val="313"/>
        </w:trPr>
        <w:tc>
          <w:tcPr>
            <w:tcW w:w="2972" w:type="dxa"/>
          </w:tcPr>
          <w:p w:rsidR="00655DA0" w:rsidRDefault="00655DA0">
            <w:pPr>
              <w:pStyle w:val="afc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743" w:type="dxa"/>
            <w:gridSpan w:val="5"/>
          </w:tcPr>
          <w:p w:rsidR="00655DA0" w:rsidRDefault="004E4445">
            <w:pPr>
              <w:pStyle w:val="afc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Расч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чет</w:t>
            </w:r>
          </w:p>
        </w:tc>
        <w:tc>
          <w:tcPr>
            <w:tcW w:w="2641" w:type="dxa"/>
          </w:tcPr>
          <w:p w:rsidR="00655DA0" w:rsidRDefault="004E4445">
            <w:pPr>
              <w:pStyle w:val="afc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Банк</w:t>
            </w:r>
          </w:p>
        </w:tc>
      </w:tr>
      <w:tr w:rsidR="00655DA0">
        <w:trPr>
          <w:trHeight w:val="249"/>
        </w:trPr>
        <w:tc>
          <w:tcPr>
            <w:tcW w:w="2972" w:type="dxa"/>
          </w:tcPr>
          <w:p w:rsidR="00655DA0" w:rsidRDefault="00655DA0">
            <w:pPr>
              <w:pStyle w:val="afc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743" w:type="dxa"/>
            <w:gridSpan w:val="5"/>
          </w:tcPr>
          <w:p w:rsidR="00655DA0" w:rsidRDefault="004E4445">
            <w:pPr>
              <w:pStyle w:val="afc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Корр.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cчет</w:t>
            </w:r>
            <w:proofErr w:type="spellEnd"/>
          </w:p>
        </w:tc>
        <w:tc>
          <w:tcPr>
            <w:tcW w:w="2641" w:type="dxa"/>
          </w:tcPr>
          <w:p w:rsidR="00655DA0" w:rsidRDefault="004E4445">
            <w:pPr>
              <w:pStyle w:val="afc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БИК</w:t>
            </w:r>
          </w:p>
        </w:tc>
      </w:tr>
      <w:tr w:rsidR="00655DA0">
        <w:trPr>
          <w:trHeight w:val="489"/>
        </w:trPr>
        <w:tc>
          <w:tcPr>
            <w:tcW w:w="2972" w:type="dxa"/>
          </w:tcPr>
          <w:p w:rsidR="00655DA0" w:rsidRDefault="004E4445">
            <w:pPr>
              <w:pStyle w:val="afc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Ф.И.О. и должность лица, подписывающего договор</w:t>
            </w:r>
          </w:p>
        </w:tc>
        <w:tc>
          <w:tcPr>
            <w:tcW w:w="4743" w:type="dxa"/>
            <w:gridSpan w:val="5"/>
          </w:tcPr>
          <w:p w:rsidR="00655DA0" w:rsidRDefault="00655DA0">
            <w:pPr>
              <w:pStyle w:val="Default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641" w:type="dxa"/>
          </w:tcPr>
          <w:p w:rsidR="00655DA0" w:rsidRDefault="004E4445">
            <w:pPr>
              <w:pStyle w:val="afc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№ доверенности </w:t>
            </w:r>
          </w:p>
          <w:p w:rsidR="00655DA0" w:rsidRDefault="00655DA0">
            <w:pPr>
              <w:pStyle w:val="Default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55DA0">
        <w:trPr>
          <w:trHeight w:val="415"/>
        </w:trPr>
        <w:tc>
          <w:tcPr>
            <w:tcW w:w="2972" w:type="dxa"/>
          </w:tcPr>
          <w:p w:rsidR="00655DA0" w:rsidRDefault="004E4445">
            <w:pPr>
              <w:pStyle w:val="afc"/>
              <w:ind w:right="-210"/>
              <w:contextualSpacing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Телефон</w:t>
            </w:r>
          </w:p>
        </w:tc>
        <w:tc>
          <w:tcPr>
            <w:tcW w:w="1168" w:type="dxa"/>
          </w:tcPr>
          <w:p w:rsidR="00655DA0" w:rsidRDefault="004E4445">
            <w:pPr>
              <w:pStyle w:val="afc"/>
              <w:ind w:right="-108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код страны</w:t>
            </w:r>
          </w:p>
        </w:tc>
        <w:tc>
          <w:tcPr>
            <w:tcW w:w="485" w:type="dxa"/>
          </w:tcPr>
          <w:p w:rsidR="00655DA0" w:rsidRDefault="00655DA0">
            <w:pPr>
              <w:pStyle w:val="afc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99" w:type="dxa"/>
          </w:tcPr>
          <w:p w:rsidR="00655DA0" w:rsidRDefault="004E4445">
            <w:pPr>
              <w:pStyle w:val="afc"/>
              <w:ind w:right="-108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код города</w:t>
            </w:r>
          </w:p>
        </w:tc>
        <w:tc>
          <w:tcPr>
            <w:tcW w:w="1111" w:type="dxa"/>
          </w:tcPr>
          <w:p w:rsidR="00655DA0" w:rsidRDefault="00655DA0">
            <w:pPr>
              <w:pStyle w:val="afc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080" w:type="dxa"/>
          </w:tcPr>
          <w:p w:rsidR="00655DA0" w:rsidRDefault="004E4445">
            <w:pPr>
              <w:pStyle w:val="afc"/>
              <w:ind w:right="-105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тел.</w:t>
            </w:r>
          </w:p>
        </w:tc>
        <w:tc>
          <w:tcPr>
            <w:tcW w:w="2641" w:type="dxa"/>
            <w:vAlign w:val="bottom"/>
          </w:tcPr>
          <w:p w:rsidR="00655DA0" w:rsidRDefault="00655DA0">
            <w:pPr>
              <w:pStyle w:val="afc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55DA0">
        <w:trPr>
          <w:trHeight w:val="286"/>
        </w:trPr>
        <w:tc>
          <w:tcPr>
            <w:tcW w:w="2972" w:type="dxa"/>
          </w:tcPr>
          <w:p w:rsidR="00655DA0" w:rsidRDefault="004E4445">
            <w:pPr>
              <w:pStyle w:val="afc"/>
              <w:contextualSpacing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Электронная почта</w:t>
            </w:r>
          </w:p>
        </w:tc>
        <w:tc>
          <w:tcPr>
            <w:tcW w:w="7384" w:type="dxa"/>
            <w:gridSpan w:val="6"/>
            <w:vAlign w:val="bottom"/>
          </w:tcPr>
          <w:p w:rsidR="00655DA0" w:rsidRDefault="00655DA0">
            <w:pPr>
              <w:pStyle w:val="afc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55DA0">
        <w:trPr>
          <w:trHeight w:val="481"/>
        </w:trPr>
        <w:tc>
          <w:tcPr>
            <w:tcW w:w="2972" w:type="dxa"/>
          </w:tcPr>
          <w:p w:rsidR="00655DA0" w:rsidRDefault="004E4445">
            <w:pPr>
              <w:pStyle w:val="afc"/>
              <w:contextualSpacing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Пожелания</w:t>
            </w:r>
          </w:p>
        </w:tc>
        <w:tc>
          <w:tcPr>
            <w:tcW w:w="7384" w:type="dxa"/>
            <w:gridSpan w:val="6"/>
            <w:vAlign w:val="bottom"/>
          </w:tcPr>
          <w:p w:rsidR="00655DA0" w:rsidRDefault="00655DA0">
            <w:pPr>
              <w:pStyle w:val="afc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655DA0" w:rsidRDefault="004E4445">
      <w:pPr>
        <w:pStyle w:val="maintext"/>
        <w:tabs>
          <w:tab w:val="left" w:pos="851"/>
        </w:tabs>
        <w:spacing w:before="0" w:after="0"/>
        <w:ind w:right="5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Для платных участников.</w:t>
      </w:r>
    </w:p>
    <w:p w:rsidR="00655DA0" w:rsidRDefault="00655DA0">
      <w:pPr>
        <w:pStyle w:val="Default"/>
        <w:contextualSpacing/>
      </w:pPr>
    </w:p>
    <w:sectPr w:rsidR="00655DA0">
      <w:headerReference w:type="default" r:id="rId13"/>
      <w:footerReference w:type="default" r:id="rId14"/>
      <w:footnotePr>
        <w:pos w:val="beneathText"/>
      </w:footnotePr>
      <w:pgSz w:w="12240" w:h="15840"/>
      <w:pgMar w:top="1134" w:right="851" w:bottom="1134" w:left="1418" w:header="720" w:footer="442" w:gutter="0"/>
      <w:cols w:space="720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13CBF0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DA0" w:rsidRDefault="004E4445">
      <w:r>
        <w:separator/>
      </w:r>
    </w:p>
  </w:endnote>
  <w:endnote w:type="continuationSeparator" w:id="0">
    <w:p w:rsidR="00655DA0" w:rsidRDefault="004E4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DA0" w:rsidRDefault="00655DA0">
    <w:pPr>
      <w:pStyle w:val="af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DA0" w:rsidRDefault="004E4445">
      <w:r>
        <w:separator/>
      </w:r>
    </w:p>
  </w:footnote>
  <w:footnote w:type="continuationSeparator" w:id="0">
    <w:p w:rsidR="00655DA0" w:rsidRDefault="004E4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0927137"/>
      <w:docPartObj>
        <w:docPartGallery w:val="Page Numbers (Top of Page)"/>
        <w:docPartUnique/>
      </w:docPartObj>
    </w:sdtPr>
    <w:sdtEndPr/>
    <w:sdtContent>
      <w:p w:rsidR="00655DA0" w:rsidRDefault="004E4445">
        <w:pPr>
          <w:pStyle w:val="aff1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475303">
          <w:rPr>
            <w:noProof/>
            <w:sz w:val="28"/>
            <w:szCs w:val="28"/>
          </w:rPr>
          <w:t>5</w:t>
        </w:r>
        <w:r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D4FAE"/>
    <w:multiLevelType w:val="hybridMultilevel"/>
    <w:tmpl w:val="369A0660"/>
    <w:lvl w:ilvl="0" w:tplc="F4668EB8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 w:tplc="D2801FC2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 w:tplc="A802C6D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 w:tplc="1862D994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 w:tplc="85221212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 w:tplc="A2169330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 w:tplc="30A6BB18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 w:tplc="0ACC9202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 w:tplc="CEDA2344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826362"/>
    <w:multiLevelType w:val="hybridMultilevel"/>
    <w:tmpl w:val="E062A04A"/>
    <w:lvl w:ilvl="0" w:tplc="BED22610">
      <w:start w:val="1"/>
      <w:numFmt w:val="bullet"/>
      <w:lvlText w:val=""/>
      <w:lvlJc w:val="left"/>
      <w:pPr>
        <w:tabs>
          <w:tab w:val="num" w:pos="823"/>
        </w:tabs>
        <w:ind w:left="823" w:hanging="397"/>
      </w:pPr>
      <w:rPr>
        <w:rFonts w:ascii="Symbol" w:hAnsi="Symbol"/>
      </w:rPr>
    </w:lvl>
    <w:lvl w:ilvl="1" w:tplc="A3D0F4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BB6C2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9E490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3458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C18BA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056DF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12D7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804B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24A02E2"/>
    <w:multiLevelType w:val="hybridMultilevel"/>
    <w:tmpl w:val="AEB6056E"/>
    <w:lvl w:ilvl="0" w:tplc="C39A8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4CE4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EFA057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D4FF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9A1BA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6068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B051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FC44A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CA3D7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667BC6"/>
    <w:multiLevelType w:val="hybridMultilevel"/>
    <w:tmpl w:val="5D32DC12"/>
    <w:lvl w:ilvl="0" w:tplc="5D1EAB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43895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B3E17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CDE39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0723F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CD444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1C2A2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F147D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B4226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90E1B70"/>
    <w:multiLevelType w:val="hybridMultilevel"/>
    <w:tmpl w:val="BD1EB446"/>
    <w:lvl w:ilvl="0" w:tplc="4DBCA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ACD5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862F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2AB4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9A39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B2E9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49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AEFC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36B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C02EC"/>
    <w:multiLevelType w:val="hybridMultilevel"/>
    <w:tmpl w:val="9152814A"/>
    <w:lvl w:ilvl="0" w:tplc="94A63A5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33EB8D4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4EA0E08E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4C9C523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1F52126A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392DB94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737CC32A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C78E4C64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2E20FB4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5D0008E2"/>
    <w:multiLevelType w:val="hybridMultilevel"/>
    <w:tmpl w:val="025A6DBC"/>
    <w:lvl w:ilvl="0" w:tplc="357A1A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E9E98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AEB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F6E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8EF4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6CA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E4E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D89D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7A5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20CFA"/>
    <w:multiLevelType w:val="hybridMultilevel"/>
    <w:tmpl w:val="0DE44C0C"/>
    <w:lvl w:ilvl="0" w:tplc="E710F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C09878">
      <w:start w:val="1"/>
      <w:numFmt w:val="lowerLetter"/>
      <w:lvlText w:val="%2."/>
      <w:lvlJc w:val="left"/>
      <w:pPr>
        <w:ind w:left="1440" w:hanging="360"/>
      </w:pPr>
    </w:lvl>
    <w:lvl w:ilvl="2" w:tplc="B12C7F42">
      <w:start w:val="1"/>
      <w:numFmt w:val="lowerRoman"/>
      <w:lvlText w:val="%3."/>
      <w:lvlJc w:val="right"/>
      <w:pPr>
        <w:ind w:left="2160" w:hanging="180"/>
      </w:pPr>
    </w:lvl>
    <w:lvl w:ilvl="3" w:tplc="A4E4337E">
      <w:start w:val="1"/>
      <w:numFmt w:val="decimal"/>
      <w:lvlText w:val="%4."/>
      <w:lvlJc w:val="left"/>
      <w:pPr>
        <w:ind w:left="2880" w:hanging="360"/>
      </w:pPr>
    </w:lvl>
    <w:lvl w:ilvl="4" w:tplc="EFC8502E">
      <w:start w:val="1"/>
      <w:numFmt w:val="lowerLetter"/>
      <w:lvlText w:val="%5."/>
      <w:lvlJc w:val="left"/>
      <w:pPr>
        <w:ind w:left="3600" w:hanging="360"/>
      </w:pPr>
    </w:lvl>
    <w:lvl w:ilvl="5" w:tplc="7C9AA166">
      <w:start w:val="1"/>
      <w:numFmt w:val="lowerRoman"/>
      <w:lvlText w:val="%6."/>
      <w:lvlJc w:val="right"/>
      <w:pPr>
        <w:ind w:left="4320" w:hanging="180"/>
      </w:pPr>
    </w:lvl>
    <w:lvl w:ilvl="6" w:tplc="339A1EF8">
      <w:start w:val="1"/>
      <w:numFmt w:val="decimal"/>
      <w:lvlText w:val="%7."/>
      <w:lvlJc w:val="left"/>
      <w:pPr>
        <w:ind w:left="5040" w:hanging="360"/>
      </w:pPr>
    </w:lvl>
    <w:lvl w:ilvl="7" w:tplc="6A5602B8">
      <w:start w:val="1"/>
      <w:numFmt w:val="lowerLetter"/>
      <w:lvlText w:val="%8."/>
      <w:lvlJc w:val="left"/>
      <w:pPr>
        <w:ind w:left="5760" w:hanging="360"/>
      </w:pPr>
    </w:lvl>
    <w:lvl w:ilvl="8" w:tplc="AFAABE8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B7FA5"/>
    <w:multiLevelType w:val="hybridMultilevel"/>
    <w:tmpl w:val="80048638"/>
    <w:lvl w:ilvl="0" w:tplc="B66E37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C63469C2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92DED034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D354F6A0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E3B8B108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86C44A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E2F0902A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2CF89CD8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71788D72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BEF077B"/>
    <w:multiLevelType w:val="hybridMultilevel"/>
    <w:tmpl w:val="3C0ACEB2"/>
    <w:lvl w:ilvl="0" w:tplc="3A764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98F0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76B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2CA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4A9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405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DE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04C8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829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27BE7"/>
    <w:multiLevelType w:val="hybridMultilevel"/>
    <w:tmpl w:val="5366EAEC"/>
    <w:lvl w:ilvl="0" w:tplc="08608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C06E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E1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10F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C1F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A2B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EE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32FB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B20B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C09A2"/>
    <w:multiLevelType w:val="hybridMultilevel"/>
    <w:tmpl w:val="914C9E78"/>
    <w:lvl w:ilvl="0" w:tplc="F8BE364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D4D44EE8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966F760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E22EA6DE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13FCE978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4FDE499E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B8F632A0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75F2513C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EB129CCA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1"/>
  </w:num>
  <w:num w:numId="6">
    <w:abstractNumId w:val="8"/>
  </w:num>
  <w:num w:numId="7">
    <w:abstractNumId w:val="5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A0"/>
    <w:rsid w:val="002646E1"/>
    <w:rsid w:val="002B73A8"/>
    <w:rsid w:val="003C0C5C"/>
    <w:rsid w:val="004710F9"/>
    <w:rsid w:val="00475303"/>
    <w:rsid w:val="004E4445"/>
    <w:rsid w:val="0057224D"/>
    <w:rsid w:val="00655DA0"/>
    <w:rsid w:val="008C10B0"/>
    <w:rsid w:val="008E7AC2"/>
    <w:rsid w:val="00A46045"/>
    <w:rsid w:val="00C06071"/>
    <w:rsid w:val="00D935BC"/>
    <w:rsid w:val="00DE2D1A"/>
    <w:rsid w:val="00F530B2"/>
    <w:rsid w:val="00F8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86ED67-34D6-4AB2-B9B2-0F0ADF09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outlineLvl w:val="2"/>
    </w:pPr>
    <w:rPr>
      <w:rFonts w:ascii="Arial" w:hAnsi="Arial"/>
      <w:b/>
      <w:i/>
      <w:iCs/>
      <w:sz w:val="20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lang w:val="en-US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outlineLvl w:val="4"/>
    </w:pPr>
    <w:rPr>
      <w:rFonts w:ascii="Arial" w:hAnsi="Arial" w:cs="Arial"/>
      <w:color w:val="0000FF"/>
      <w:sz w:val="28"/>
      <w:szCs w:val="28"/>
      <w:lang w:val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WW8Num2z1">
    <w:name w:val="WW8Num2z1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Times New Roman"/>
    </w:rPr>
  </w:style>
  <w:style w:type="character" w:customStyle="1" w:styleId="WW8Num3z3">
    <w:name w:val="WW8Num3z3"/>
    <w:rPr>
      <w:rFonts w:ascii="Symbol" w:hAnsi="Symbol" w:cs="Times New Roman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Times New Roman"/>
    </w:rPr>
  </w:style>
  <w:style w:type="character" w:customStyle="1" w:styleId="WW8Num11z3">
    <w:name w:val="WW8Num11z3"/>
    <w:rPr>
      <w:rFonts w:ascii="Symbol" w:hAnsi="Symbol" w:cs="Times New Roman"/>
    </w:rPr>
  </w:style>
  <w:style w:type="character" w:customStyle="1" w:styleId="WW8Num12z0">
    <w:name w:val="WW8Num12z0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13">
    <w:name w:val="Основной шрифт абзаца1"/>
  </w:style>
  <w:style w:type="character" w:customStyle="1" w:styleId="af5">
    <w:name w:val="..........."/>
    <w:rPr>
      <w:color w:val="000000"/>
    </w:rPr>
  </w:style>
  <w:style w:type="character" w:styleId="af6">
    <w:name w:val="Hyperlink"/>
    <w:basedOn w:val="13"/>
    <w:rPr>
      <w:color w:val="0000FF"/>
      <w:u w:val="single"/>
    </w:rPr>
  </w:style>
  <w:style w:type="character" w:styleId="af7">
    <w:name w:val="FollowedHyperlink"/>
    <w:basedOn w:val="13"/>
    <w:rPr>
      <w:color w:val="800080"/>
      <w:u w:val="single"/>
    </w:rPr>
  </w:style>
  <w:style w:type="character" w:styleId="af8">
    <w:name w:val="page number"/>
    <w:basedOn w:val="13"/>
  </w:style>
  <w:style w:type="paragraph" w:customStyle="1" w:styleId="af9">
    <w:name w:val="Заголовок"/>
    <w:basedOn w:val="a"/>
    <w:next w:val="af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a">
    <w:name w:val="Body Text"/>
    <w:basedOn w:val="a"/>
    <w:pPr>
      <w:spacing w:after="120"/>
    </w:pPr>
  </w:style>
  <w:style w:type="paragraph" w:styleId="afb">
    <w:name w:val="List"/>
    <w:basedOn w:val="afa"/>
    <w:rPr>
      <w:rFonts w:ascii="Arial" w:hAnsi="Arial" w:cs="Tahoma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5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Default">
    <w:name w:val="Default"/>
    <w:pPr>
      <w:widowControl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16">
    <w:name w:val="......... 1"/>
    <w:basedOn w:val="Default"/>
    <w:next w:val="Default"/>
    <w:rPr>
      <w:color w:val="auto"/>
    </w:rPr>
  </w:style>
  <w:style w:type="paragraph" w:customStyle="1" w:styleId="62">
    <w:name w:val="......... 6"/>
    <w:basedOn w:val="Default"/>
    <w:next w:val="Default"/>
    <w:rPr>
      <w:color w:val="auto"/>
    </w:rPr>
  </w:style>
  <w:style w:type="paragraph" w:customStyle="1" w:styleId="afc">
    <w:name w:val="......."/>
    <w:basedOn w:val="Default"/>
    <w:next w:val="Default"/>
    <w:rPr>
      <w:color w:val="auto"/>
    </w:rPr>
  </w:style>
  <w:style w:type="paragraph" w:customStyle="1" w:styleId="72">
    <w:name w:val="......... 7"/>
    <w:basedOn w:val="Default"/>
    <w:next w:val="Default"/>
    <w:rPr>
      <w:color w:val="auto"/>
    </w:rPr>
  </w:style>
  <w:style w:type="paragraph" w:customStyle="1" w:styleId="25">
    <w:name w:val="........ ..... 2"/>
    <w:basedOn w:val="Default"/>
    <w:next w:val="Default"/>
    <w:rPr>
      <w:color w:val="auto"/>
    </w:rPr>
  </w:style>
  <w:style w:type="paragraph" w:customStyle="1" w:styleId="53">
    <w:name w:val="......... 5"/>
    <w:basedOn w:val="Default"/>
    <w:next w:val="Default"/>
    <w:rPr>
      <w:color w:val="auto"/>
    </w:rPr>
  </w:style>
  <w:style w:type="paragraph" w:customStyle="1" w:styleId="26">
    <w:name w:val="......... 2"/>
    <w:basedOn w:val="Default"/>
    <w:next w:val="Default"/>
    <w:rPr>
      <w:color w:val="auto"/>
    </w:rPr>
  </w:style>
  <w:style w:type="paragraph" w:customStyle="1" w:styleId="afd">
    <w:name w:val="........ ....."/>
    <w:basedOn w:val="Default"/>
    <w:next w:val="Default"/>
    <w:rPr>
      <w:color w:val="auto"/>
    </w:rPr>
  </w:style>
  <w:style w:type="paragraph" w:customStyle="1" w:styleId="43">
    <w:name w:val="......... 4"/>
    <w:basedOn w:val="Default"/>
    <w:next w:val="Default"/>
    <w:rPr>
      <w:color w:val="auto"/>
    </w:rPr>
  </w:style>
  <w:style w:type="paragraph" w:customStyle="1" w:styleId="33">
    <w:name w:val="......... 3"/>
    <w:basedOn w:val="Default"/>
    <w:next w:val="Default"/>
    <w:rPr>
      <w:color w:val="auto"/>
    </w:rPr>
  </w:style>
  <w:style w:type="paragraph" w:styleId="afe">
    <w:name w:val="Body Text Indent"/>
    <w:basedOn w:val="a"/>
    <w:rPr>
      <w:rFonts w:ascii="Arial" w:hAnsi="Arial" w:cs="Arial"/>
      <w:color w:val="333399"/>
    </w:rPr>
  </w:style>
  <w:style w:type="paragraph" w:customStyle="1" w:styleId="310">
    <w:name w:val="Основной текст 31"/>
    <w:basedOn w:val="a"/>
    <w:pPr>
      <w:jc w:val="center"/>
    </w:pPr>
    <w:rPr>
      <w:rFonts w:ascii="Arial" w:hAnsi="Arial" w:cs="Arial"/>
      <w:color w:val="333399"/>
      <w:sz w:val="18"/>
      <w:szCs w:val="18"/>
    </w:rPr>
  </w:style>
  <w:style w:type="paragraph" w:customStyle="1" w:styleId="220">
    <w:name w:val="Основной текст 22"/>
    <w:basedOn w:val="a"/>
    <w:rPr>
      <w:rFonts w:ascii="Arial" w:hAnsi="Arial" w:cs="Arial"/>
      <w:color w:val="333399"/>
    </w:rPr>
  </w:style>
  <w:style w:type="paragraph" w:customStyle="1" w:styleId="maintext">
    <w:name w:val="maintext"/>
    <w:basedOn w:val="a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aff">
    <w:name w:val="footer"/>
    <w:basedOn w:val="a"/>
    <w:link w:val="aff0"/>
    <w:uiPriority w:val="99"/>
    <w:pPr>
      <w:tabs>
        <w:tab w:val="center" w:pos="4677"/>
        <w:tab w:val="right" w:pos="9355"/>
      </w:tabs>
    </w:pPr>
  </w:style>
  <w:style w:type="paragraph" w:styleId="aff1">
    <w:name w:val="header"/>
    <w:basedOn w:val="a"/>
    <w:link w:val="aff2"/>
    <w:uiPriority w:val="99"/>
    <w:pPr>
      <w:tabs>
        <w:tab w:val="center" w:pos="4677"/>
        <w:tab w:val="right" w:pos="9355"/>
      </w:tabs>
    </w:pPr>
  </w:style>
  <w:style w:type="paragraph" w:styleId="af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Pr>
      <w:b/>
      <w:bCs/>
      <w:sz w:val="22"/>
      <w:szCs w:val="20"/>
    </w:rPr>
  </w:style>
  <w:style w:type="paragraph" w:customStyle="1" w:styleId="aff4">
    <w:name w:val="Содержимое врезки"/>
    <w:basedOn w:val="afa"/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character" w:customStyle="1" w:styleId="20">
    <w:name w:val="Заголовок 2 Знак"/>
    <w:basedOn w:val="a0"/>
    <w:link w:val="2"/>
    <w:rPr>
      <w:rFonts w:ascii="Arial" w:hAnsi="Arial" w:cs="Arial"/>
      <w:b/>
      <w:bCs/>
      <w:color w:val="0000FF"/>
      <w:lang w:val="en-US" w:eastAsia="ar-SA"/>
    </w:rPr>
  </w:style>
  <w:style w:type="character" w:customStyle="1" w:styleId="aff0">
    <w:name w:val="Нижний колонтитул Знак"/>
    <w:basedOn w:val="a0"/>
    <w:link w:val="aff"/>
    <w:uiPriority w:val="99"/>
    <w:rPr>
      <w:sz w:val="24"/>
      <w:szCs w:val="24"/>
      <w:lang w:eastAsia="ar-SA"/>
    </w:rPr>
  </w:style>
  <w:style w:type="paragraph" w:styleId="aff7">
    <w:name w:val="List Paragraph"/>
    <w:basedOn w:val="a"/>
    <w:uiPriority w:val="34"/>
    <w:qFormat/>
    <w:pPr>
      <w:ind w:left="720"/>
      <w:contextualSpacing/>
    </w:pPr>
  </w:style>
  <w:style w:type="character" w:customStyle="1" w:styleId="50">
    <w:name w:val="Заголовок 5 Знак"/>
    <w:basedOn w:val="a0"/>
    <w:link w:val="5"/>
    <w:rPr>
      <w:rFonts w:ascii="Arial" w:hAnsi="Arial" w:cs="Arial"/>
      <w:color w:val="0000FF"/>
      <w:sz w:val="28"/>
      <w:szCs w:val="28"/>
      <w:lang w:val="en-US" w:eastAsia="ar-SA"/>
    </w:rPr>
  </w:style>
  <w:style w:type="character" w:customStyle="1" w:styleId="aff2">
    <w:name w:val="Верхний колонтитул Знак"/>
    <w:basedOn w:val="a0"/>
    <w:link w:val="aff1"/>
    <w:uiPriority w:val="99"/>
    <w:rPr>
      <w:sz w:val="24"/>
      <w:szCs w:val="24"/>
      <w:lang w:eastAsia="ar-SA"/>
    </w:rPr>
  </w:style>
  <w:style w:type="character" w:styleId="aff8">
    <w:name w:val="annotation reference"/>
    <w:basedOn w:val="a0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semiHidden/>
    <w:unhideWhenUsed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semiHidden/>
    <w:rPr>
      <w:lang w:eastAsia="ar-SA"/>
    </w:rPr>
  </w:style>
  <w:style w:type="paragraph" w:styleId="affb">
    <w:name w:val="annotation subject"/>
    <w:basedOn w:val="aff9"/>
    <w:next w:val="aff9"/>
    <w:link w:val="affc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semiHidden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009F6-1361-404D-B27D-47DB7DD1B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Home</Company>
  <LinksUpToDate>false</LinksUpToDate>
  <CharactersWithSpaces>8745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V. N. Voronin</dc:creator>
  <cp:lastModifiedBy>L_Komarkov</cp:lastModifiedBy>
  <cp:revision>2</cp:revision>
  <dcterms:created xsi:type="dcterms:W3CDTF">2025-10-20T08:03:00Z</dcterms:created>
  <dcterms:modified xsi:type="dcterms:W3CDTF">2025-10-20T08:03:00Z</dcterms:modified>
</cp:coreProperties>
</file>